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eCourts India Integration</w:t>
      </w:r>
    </w:p>
    <w:p>
      <w:pPr>
        <w:spacing w:after="80"/>
        <w:jc w:val="center"/>
      </w:pPr>
      <w:r>
        <w:rPr>
          <w:color w:val="404040"/>
          <w:sz w:val="28"/>
          <w:szCs w:val="28"/>
        </w:rPr>
        <w:t xml:space="preserve">Feasibility, Constraints &amp; Cost Analysis</w:t>
      </w:r>
    </w:p>
    <w:p>
      <w:pPr>
        <w:spacing w:after="360"/>
        <w:jc w:val="center"/>
      </w:pPr>
      <w:r>
        <w:rPr>
          <w:i/>
          <w:iCs/>
          <w:color w:val="606060"/>
          <w:sz w:val="18"/>
          <w:szCs w:val="18"/>
        </w:rPr>
        <w:t xml:space="preserve">Source portal: hcservices.ecourts.gov.in  |  Use case: On-demand case lookup  |  Stack: Node.js / Express</w:t>
      </w:r>
    </w:p>
    <w:p>
      <w:pPr>
        <w:pStyle w:val="Heading1"/>
      </w:pPr>
      <w:r>
        <w:t xml:space="preserve">Executive Summary</w:t>
      </w:r>
    </w:p>
    <w:p>
      <w:pPr>
        <w:spacing w:after="160" w:line="300"/>
      </w:pPr>
      <w:r>
        <w:t xml:space="preserve">This document evaluates integrating Indian court case data from the official eCourts portal into a Node.js/Express application supporting on-demand user lookups across High Courts and District Courts at an expected volume of 1,000–10,000 lookups per month.</w:t>
      </w:r>
    </w:p>
    <w:p>
      <w:pPr>
        <w:spacing w:after="160" w:line="300"/>
      </w:pPr>
      <w:r>
        <w:rPr>
          <w:b/>
          <w:bCs/>
        </w:rPr>
        <w:t xml:space="preserve">Bottom line:</w:t>
      </w:r>
      <w:r>
        <w:t xml:space="preserve"> Direct integration with the official portal is not practical because the Government of India does not publish a public developer API for hcservices.ecourts.gov.in. The recommended path is integration via a paid third-party API provider (eCourtsIndia, Vakeel360, eciapi.akshit.me, or LegalKart). Estimated total cost at expected volume — including API fees, hosting, and engineering effort — is </w:t>
      </w:r>
      <w:r>
        <w:rPr>
          <w:b/>
          <w:bCs/>
        </w:rPr>
        <w:t xml:space="preserve">₹3,000–₹15,000 per month</w:t>
      </w:r>
      <w:r>
        <w:t xml:space="preserve"> in steady state, with one-time engineering effort of approximately </w:t>
      </w:r>
      <w:r>
        <w:rPr>
          <w:b/>
          <w:bCs/>
        </w:rPr>
        <w:t xml:space="preserve">20–40 hours</w:t>
      </w:r>
      <w:r>
        <w:t xml:space="preserve">.</w:t>
      </w:r>
    </w:p>
    <w:p>
      <w:pPr>
        <w:pStyle w:val="Heading1"/>
      </w:pPr>
      <w:r>
        <w:t xml:space="preserve">What Is Possible</w:t>
      </w:r>
    </w:p>
    <w:p>
      <w:pPr>
        <w:spacing w:after="160" w:line="300"/>
      </w:pPr>
      <w:r>
        <w:t xml:space="preserve">Through a third-party eCourts API provider, the application can deliver the following capabilities.</w:t>
      </w:r>
    </w:p>
    <w:p>
      <w:pPr>
        <w:pStyle w:val="Heading2"/>
      </w:pPr>
      <w:r>
        <w:t xml:space="preserve">Core Capabilities</w:t>
      </w:r>
    </w:p>
    <w:p>
      <w:pPr>
        <w:pStyle w:val="ListParagraph"/>
        <w:numPr>
          <w:ilvl w:val="0"/>
          <w:numId w:val="2"/>
        </w:numPr>
        <w:spacing w:after="80" w:line="280"/>
      </w:pPr>
      <w:r>
        <w:rPr>
          <w:b/>
          <w:bCs/>
        </w:rPr>
        <w:t xml:space="preserve">Case lookup by CNR.</w:t>
      </w:r>
      <w:r>
        <w:t xml:space="preserve"> Retrieve full case details — parties, advocates, judges, hearing history, current status, and next date — using the 16-character Case Number Record (e.g. DLHC010001232024). This is the fastest and most reliable lookup mode.</w:t>
      </w:r>
    </w:p>
    <w:p>
      <w:pPr>
        <w:pStyle w:val="ListParagraph"/>
        <w:numPr>
          <w:ilvl w:val="0"/>
          <w:numId w:val="2"/>
        </w:numPr>
        <w:spacing w:after="80" w:line="280"/>
      </w:pPr>
      <w:r>
        <w:rPr>
          <w:b/>
          <w:bCs/>
        </w:rPr>
        <w:t xml:space="preserve">Party name search.</w:t>
      </w:r>
      <w:r>
        <w:t xml:space="preserve"> Search cases by petitioner or respondent name within a chosen court. Returns multiple matching cases with summary information.</w:t>
      </w:r>
    </w:p>
    <w:p>
      <w:pPr>
        <w:pStyle w:val="ListParagraph"/>
        <w:numPr>
          <w:ilvl w:val="0"/>
          <w:numId w:val="2"/>
        </w:numPr>
        <w:spacing w:after="80" w:line="280"/>
      </w:pPr>
      <w:r>
        <w:rPr>
          <w:b/>
          <w:bCs/>
        </w:rPr>
        <w:t xml:space="preserve">Advocate search.</w:t>
      </w:r>
      <w:r>
        <w:t xml:space="preserve"> Find all cases associated with a particular advocate.</w:t>
      </w:r>
    </w:p>
    <w:p>
      <w:pPr>
        <w:pStyle w:val="ListParagraph"/>
        <w:numPr>
          <w:ilvl w:val="0"/>
          <w:numId w:val="2"/>
        </w:numPr>
        <w:spacing w:after="80" w:line="280"/>
      </w:pPr>
      <w:r>
        <w:rPr>
          <w:b/>
          <w:bCs/>
        </w:rPr>
        <w:t xml:space="preserve">Order and judgment retrieval.</w:t>
      </w:r>
      <w:r>
        <w:t xml:space="preserve"> Download court orders and judgments as PDFs, including watermarked certified-true-copy variants where supported by the underlying court.</w:t>
      </w:r>
    </w:p>
    <w:p>
      <w:pPr>
        <w:pStyle w:val="ListParagraph"/>
        <w:numPr>
          <w:ilvl w:val="0"/>
          <w:numId w:val="2"/>
        </w:numPr>
        <w:spacing w:after="80" w:line="280"/>
      </w:pPr>
      <w:r>
        <w:rPr>
          <w:b/>
          <w:bCs/>
        </w:rPr>
        <w:t xml:space="preserve">Cause list access.</w:t>
      </w:r>
      <w:r>
        <w:t xml:space="preserve"> Retrieve daily cause lists for a court, judge, or advocate, with date filtering.</w:t>
      </w:r>
    </w:p>
    <w:p>
      <w:pPr>
        <w:pStyle w:val="ListParagraph"/>
        <w:numPr>
          <w:ilvl w:val="0"/>
          <w:numId w:val="2"/>
        </w:numPr>
        <w:spacing w:after="80" w:line="280"/>
      </w:pPr>
      <w:r>
        <w:rPr>
          <w:b/>
          <w:bCs/>
        </w:rPr>
        <w:t xml:space="preserve">Case status tracking.</w:t>
      </w:r>
      <w:r>
        <w:t xml:space="preserve"> Monitor cases for status changes and new orders. Suitable for a 'My Cases' or portfolio feature.</w:t>
      </w:r>
    </w:p>
    <w:p>
      <w:pPr>
        <w:pStyle w:val="ListParagraph"/>
        <w:numPr>
          <w:ilvl w:val="0"/>
          <w:numId w:val="2"/>
        </w:numPr>
        <w:spacing w:after="80" w:line="280"/>
      </w:pPr>
      <w:r>
        <w:rPr>
          <w:b/>
          <w:bCs/>
        </w:rPr>
        <w:t xml:space="preserve">Court hierarchy navigation.</w:t>
      </w:r>
      <w:r>
        <w:t xml:space="preserve"> Programmatically traverse States → Districts → Court Complexes → Courts → Case Types. Most providers offer this metadata for free.</w:t>
      </w:r>
    </w:p>
    <w:p>
      <w:pPr>
        <w:pStyle w:val="Heading2"/>
      </w:pPr>
      <w:r>
        <w:t xml:space="preserve">Court Coverage</w:t>
      </w:r>
    </w:p>
    <w:p>
      <w:pPr>
        <w:pStyle w:val="ListParagraph"/>
        <w:numPr>
          <w:ilvl w:val="0"/>
          <w:numId w:val="2"/>
        </w:numPr>
        <w:spacing w:after="80" w:line="280"/>
      </w:pPr>
      <w:r>
        <w:rPr>
          <w:b/>
          <w:bCs/>
        </w:rPr>
        <w:t xml:space="preserve">All 25 High Courts</w:t>
      </w:r>
      <w:r>
        <w:t xml:space="preserve"> of India, including their benches (Bombay, Madras, Delhi, Calcutta, Allahabad, etc., with all jurisdictional benches such as Lucknow, Nagpur, Aurangabad, Madurai, etc.).</w:t>
      </w:r>
    </w:p>
    <w:p>
      <w:pPr>
        <w:pStyle w:val="ListParagraph"/>
        <w:numPr>
          <w:ilvl w:val="0"/>
          <w:numId w:val="2"/>
        </w:numPr>
        <w:spacing w:after="80" w:line="280"/>
      </w:pPr>
      <w:r>
        <w:rPr>
          <w:b/>
          <w:bCs/>
        </w:rPr>
        <w:t xml:space="preserve">600+ District Courts</w:t>
      </w:r>
      <w:r>
        <w:t xml:space="preserve"> across all states and union territories that have been onboarded to the eCourts platform.</w:t>
      </w:r>
    </w:p>
    <w:p>
      <w:pPr>
        <w:pStyle w:val="ListParagraph"/>
        <w:numPr>
          <w:ilvl w:val="0"/>
          <w:numId w:val="2"/>
        </w:numPr>
        <w:spacing w:after="80" w:line="280"/>
      </w:pPr>
      <w:r>
        <w:rPr>
          <w:b/>
          <w:bCs/>
        </w:rPr>
        <w:t xml:space="preserve">Supreme Court of India</w:t>
      </w:r>
      <w:r>
        <w:t xml:space="preserve">, in providers that have integrated the SC's separate portal.</w:t>
      </w:r>
    </w:p>
    <w:p>
      <w:pPr>
        <w:pStyle w:val="ListParagraph"/>
        <w:numPr>
          <w:ilvl w:val="0"/>
          <w:numId w:val="2"/>
        </w:numPr>
        <w:spacing w:after="80" w:line="280"/>
      </w:pPr>
      <w:r>
        <w:rPr>
          <w:b/>
          <w:bCs/>
        </w:rPr>
        <w:t xml:space="preserve">Selected tribunals</w:t>
      </w:r>
      <w:r>
        <w:t xml:space="preserve"> including NCLT, NCLAT, CAT, ITAT, CESTAT, RERA, and Consumer Forums (coverage varies by provider).</w:t>
      </w:r>
    </w:p>
    <w:p>
      <w:pPr>
        <w:pStyle w:val="Heading2"/>
      </w:pPr>
      <w:r>
        <w:t xml:space="preserve">Technical Capabilities</w:t>
      </w:r>
    </w:p>
    <w:p>
      <w:pPr>
        <w:pStyle w:val="ListParagraph"/>
        <w:numPr>
          <w:ilvl w:val="0"/>
          <w:numId w:val="2"/>
        </w:numPr>
        <w:spacing w:after="80" w:line="280"/>
      </w:pPr>
      <w:r>
        <w:rPr>
          <w:b/>
          <w:bCs/>
        </w:rPr>
        <w:t xml:space="preserve">Real-time lookups</w:t>
      </w:r>
      <w:r>
        <w:t xml:space="preserve"> typically returning in 2–8 seconds, depending on provider and whether a fresh re-scrape is requested.</w:t>
      </w:r>
    </w:p>
    <w:p>
      <w:pPr>
        <w:pStyle w:val="ListParagraph"/>
        <w:numPr>
          <w:ilvl w:val="0"/>
          <w:numId w:val="2"/>
        </w:numPr>
        <w:spacing w:after="80" w:line="280"/>
      </w:pPr>
      <w:r>
        <w:rPr>
          <w:b/>
          <w:bCs/>
        </w:rPr>
        <w:t xml:space="preserve">Forced refresh</w:t>
      </w:r>
      <w:r>
        <w:t xml:space="preserve"> to bypass cached vendor data and re-scrape directly from official eCourts servers when up-to-the-minute accuracy is required.</w:t>
      </w:r>
    </w:p>
    <w:p>
      <w:pPr>
        <w:pStyle w:val="ListParagraph"/>
        <w:numPr>
          <w:ilvl w:val="0"/>
          <w:numId w:val="2"/>
        </w:numPr>
        <w:spacing w:after="80" w:line="280"/>
      </w:pPr>
      <w:r>
        <w:rPr>
          <w:b/>
          <w:bCs/>
        </w:rPr>
        <w:t xml:space="preserve">Bulk portfolio updates</w:t>
      </w:r>
      <w:r>
        <w:t xml:space="preserve"> queuing up to 50 cases per request for nightly background sync jobs.</w:t>
      </w:r>
    </w:p>
    <w:p>
      <w:pPr>
        <w:pStyle w:val="ListParagraph"/>
        <w:numPr>
          <w:ilvl w:val="0"/>
          <w:numId w:val="2"/>
        </w:numPr>
        <w:spacing w:after="80" w:line="280"/>
      </w:pPr>
      <w:r>
        <w:rPr>
          <w:b/>
          <w:bCs/>
        </w:rPr>
        <w:t xml:space="preserve">JSON-formatted responses</w:t>
      </w:r>
      <w:r>
        <w:t xml:space="preserve"> suitable for direct integration into a JavaScript/Node.js stack.</w:t>
      </w:r>
    </w:p>
    <w:p>
      <w:pPr>
        <w:pStyle w:val="ListParagraph"/>
        <w:numPr>
          <w:ilvl w:val="0"/>
          <w:numId w:val="2"/>
        </w:numPr>
        <w:spacing w:after="80" w:line="280"/>
      </w:pPr>
      <w:r>
        <w:rPr>
          <w:b/>
          <w:bCs/>
        </w:rPr>
        <w:t xml:space="preserve">Bearer-token or API-key authentication</w:t>
      </w:r>
      <w:r>
        <w:t xml:space="preserve"> with standard HTTPS — no special infrastructure required.</w:t>
      </w:r>
    </w:p>
    <w:p>
      <w:pPr>
        <w:pStyle w:val="Heading1"/>
      </w:pPr>
      <w:r>
        <w:t xml:space="preserve">What Is Not Possible (or Significantly Limited)</w:t>
      </w:r>
    </w:p>
    <w:p>
      <w:pPr>
        <w:pStyle w:val="Heading2"/>
      </w:pPr>
      <w:r>
        <w:t xml:space="preserve">Direct Integration with the Official Portal</w:t>
      </w:r>
    </w:p>
    <w:p>
      <w:pPr>
        <w:pStyle w:val="ListParagraph"/>
        <w:numPr>
          <w:ilvl w:val="0"/>
          <w:numId w:val="2"/>
        </w:numPr>
        <w:spacing w:after="80" w:line="280"/>
      </w:pPr>
      <w:r>
        <w:rPr>
          <w:b/>
          <w:bCs/>
        </w:rPr>
        <w:t xml:space="preserve">No official public API</w:t>
      </w:r>
      <w:r>
        <w:t xml:space="preserve"> is published by NIC (National Informatics Centre) or the eCommittee of the Supreme Court for hcservices.ecourts.gov.in or services.ecourts.gov.in.</w:t>
      </w:r>
    </w:p>
    <w:p>
      <w:pPr>
        <w:pStyle w:val="ListParagraph"/>
        <w:numPr>
          <w:ilvl w:val="0"/>
          <w:numId w:val="2"/>
        </w:numPr>
        <w:spacing w:after="80" w:line="280"/>
      </w:pPr>
      <w:r>
        <w:rPr>
          <w:b/>
          <w:bCs/>
        </w:rPr>
        <w:t xml:space="preserve">CAPTCHA protection</w:t>
      </w:r>
      <w:r>
        <w:t xml:space="preserve"> on the official portal blocks automated requests by design. Bypassing this in your own code is brittle and arguably violates the portal's terms of use.</w:t>
      </w:r>
    </w:p>
    <w:p>
      <w:pPr>
        <w:pStyle w:val="ListParagraph"/>
        <w:numPr>
          <w:ilvl w:val="0"/>
          <w:numId w:val="2"/>
        </w:numPr>
        <w:spacing w:after="80" w:line="280"/>
      </w:pPr>
      <w:r>
        <w:rPr>
          <w:b/>
          <w:bCs/>
        </w:rPr>
        <w:t xml:space="preserve">No CORS support</w:t>
      </w:r>
      <w:r>
        <w:t xml:space="preserve"> — the portal cannot be called directly from a browser-side JavaScript application. All access must be server-side.</w:t>
      </w:r>
    </w:p>
    <w:p>
      <w:pPr>
        <w:pStyle w:val="ListParagraph"/>
        <w:numPr>
          <w:ilvl w:val="0"/>
          <w:numId w:val="2"/>
        </w:numPr>
        <w:spacing w:after="80" w:line="280"/>
      </w:pPr>
      <w:r>
        <w:rPr>
          <w:b/>
          <w:bCs/>
        </w:rPr>
        <w:t xml:space="preserve">Session and token rotation</w:t>
      </w:r>
      <w:r>
        <w:t xml:space="preserve"> on the official site changes frequently and breaks self-built scrapers without warning.</w:t>
      </w:r>
    </w:p>
    <w:p>
      <w:pPr>
        <w:pStyle w:val="Heading2"/>
      </w:pPr>
      <w:r>
        <w:t xml:space="preserve">Data Limitations Inherent to the Source</w:t>
      </w:r>
    </w:p>
    <w:p>
      <w:pPr>
        <w:pStyle w:val="ListParagraph"/>
        <w:numPr>
          <w:ilvl w:val="0"/>
          <w:numId w:val="2"/>
        </w:numPr>
        <w:spacing w:after="80" w:line="280"/>
      </w:pPr>
      <w:r>
        <w:rPr>
          <w:b/>
          <w:bCs/>
        </w:rPr>
        <w:t xml:space="preserve">Scanned PDF orders without OCR.</w:t>
      </w:r>
      <w:r>
        <w:t xml:space="preserve"> Some courts upload orders as image-based PDFs. Full-text search across these requires running your own OCR pipeline.</w:t>
      </w:r>
    </w:p>
    <w:p>
      <w:pPr>
        <w:pStyle w:val="ListParagraph"/>
        <w:numPr>
          <w:ilvl w:val="0"/>
          <w:numId w:val="2"/>
        </w:numPr>
        <w:spacing w:after="80" w:line="280"/>
      </w:pPr>
      <w:r>
        <w:rPr>
          <w:b/>
          <w:bCs/>
        </w:rPr>
        <w:t xml:space="preserve">Non-uniform case-type codes.</w:t>
      </w:r>
      <w:r>
        <w:t xml:space="preserve"> The same case type (e.g. Writ Petition, Habeas Corpus) has different numeric IDs at different High Courts and even between benches. Filter logic must be court-aware.</w:t>
      </w:r>
    </w:p>
    <w:p>
      <w:pPr>
        <w:pStyle w:val="ListParagraph"/>
        <w:numPr>
          <w:ilvl w:val="0"/>
          <w:numId w:val="2"/>
        </w:numPr>
        <w:spacing w:after="80" w:line="280"/>
      </w:pPr>
      <w:r>
        <w:rPr>
          <w:b/>
          <w:bCs/>
        </w:rPr>
        <w:t xml:space="preserve">Inconsistent data quality across states.</w:t>
      </w:r>
      <w:r>
        <w:t xml:space="preserve"> Some states provide bilingual data; some have gaps in historical filings; depth of digitisation varies by court.</w:t>
      </w:r>
    </w:p>
    <w:p>
      <w:pPr>
        <w:pStyle w:val="ListParagraph"/>
        <w:numPr>
          <w:ilvl w:val="0"/>
          <w:numId w:val="2"/>
        </w:numPr>
        <w:spacing w:after="80" w:line="280"/>
      </w:pPr>
      <w:r>
        <w:rPr>
          <w:b/>
          <w:bCs/>
        </w:rPr>
        <w:t xml:space="preserve">Tribunals outside the eCourts umbrella</w:t>
      </w:r>
      <w:r>
        <w:t xml:space="preserve"> (some specialised tribunals, state RERAs, certain commercial courts) may not be available through any single provider.</w:t>
      </w:r>
    </w:p>
    <w:p>
      <w:pPr>
        <w:pStyle w:val="ListParagraph"/>
        <w:numPr>
          <w:ilvl w:val="0"/>
          <w:numId w:val="2"/>
        </w:numPr>
        <w:spacing w:after="80" w:line="280"/>
      </w:pPr>
      <w:r>
        <w:rPr>
          <w:b/>
          <w:bCs/>
        </w:rPr>
        <w:t xml:space="preserve">Update lag.</w:t>
      </w:r>
      <w:r>
        <w:t xml:space="preserve"> Case data on the portal can lag behind actual court proceedings by hours or, occasionally, days. This is a source-side limitation, not a provider limitation.</w:t>
      </w:r>
    </w:p>
    <w:p>
      <w:pPr>
        <w:pStyle w:val="ListParagraph"/>
        <w:numPr>
          <w:ilvl w:val="0"/>
          <w:numId w:val="2"/>
        </w:numPr>
        <w:spacing w:after="80" w:line="280"/>
      </w:pPr>
      <w:r>
        <w:rPr>
          <w:b/>
          <w:bCs/>
        </w:rPr>
        <w:t xml:space="preserve">Cause lists publish only for specific dates.</w:t>
      </w:r>
      <w:r>
        <w:t xml:space="preserve"> Future cause lists generally appear 1–2 days before the hearing, not weeks ahead.</w:t>
      </w:r>
    </w:p>
    <w:p>
      <w:pPr>
        <w:pStyle w:val="Heading2"/>
      </w:pPr>
      <w:r>
        <w:t xml:space="preserve">Operational Constraints</w:t>
      </w:r>
    </w:p>
    <w:p>
      <w:pPr>
        <w:pStyle w:val="ListParagraph"/>
        <w:numPr>
          <w:ilvl w:val="0"/>
          <w:numId w:val="2"/>
        </w:numPr>
        <w:spacing w:after="80" w:line="280"/>
      </w:pPr>
      <w:r>
        <w:rPr>
          <w:b/>
          <w:bCs/>
        </w:rPr>
        <w:t xml:space="preserve">No push notifications or webhooks</w:t>
      </w:r>
      <w:r>
        <w:t xml:space="preserve"> from the official portal. Real-time alerts must be implemented by polling on a schedule (most providers offer hosted alert services as an add-on).</w:t>
      </w:r>
    </w:p>
    <w:p>
      <w:pPr>
        <w:pStyle w:val="ListParagraph"/>
        <w:numPr>
          <w:ilvl w:val="0"/>
          <w:numId w:val="2"/>
        </w:numPr>
        <w:spacing w:after="80" w:line="280"/>
      </w:pPr>
      <w:r>
        <w:rPr>
          <w:b/>
          <w:bCs/>
        </w:rPr>
        <w:t xml:space="preserve">No SLA from the underlying source.</w:t>
      </w:r>
      <w:r>
        <w:t xml:space="preserve"> When eCourts servers are slow or down (which happens), all providers feel the impact. Plan for graceful degradation.</w:t>
      </w:r>
    </w:p>
    <w:p>
      <w:pPr>
        <w:pStyle w:val="ListParagraph"/>
        <w:numPr>
          <w:ilvl w:val="0"/>
          <w:numId w:val="2"/>
        </w:numPr>
        <w:spacing w:after="80" w:line="280"/>
      </w:pPr>
      <w:r>
        <w:rPr>
          <w:b/>
          <w:bCs/>
        </w:rPr>
        <w:t xml:space="preserve">Rate limits apply</w:t>
      </w:r>
      <w:r>
        <w:t xml:space="preserve"> — both at the provider level (per your contract) and implicitly at the eCourts level (which is why providers throttle).</w:t>
      </w:r>
    </w:p>
    <w:p>
      <w:pPr>
        <w:pStyle w:val="Heading2"/>
      </w:pPr>
      <w:r>
        <w:t xml:space="preserve">Legal and Compliance Limitations</w:t>
      </w:r>
    </w:p>
    <w:p>
      <w:pPr>
        <w:pStyle w:val="ListParagraph"/>
        <w:numPr>
          <w:ilvl w:val="0"/>
          <w:numId w:val="2"/>
        </w:numPr>
        <w:spacing w:after="80" w:line="280"/>
      </w:pPr>
      <w:r>
        <w:rPr>
          <w:b/>
          <w:bCs/>
        </w:rPr>
        <w:t xml:space="preserve">Not evidentiary.</w:t>
      </w:r>
      <w:r>
        <w:t xml:space="preserve"> Case data retrieved through any API is informational only. For use in legal proceedings, certified copies must be obtained from the relevant court registry.</w:t>
      </w:r>
    </w:p>
    <w:p>
      <w:pPr>
        <w:pStyle w:val="ListParagraph"/>
        <w:numPr>
          <w:ilvl w:val="0"/>
          <w:numId w:val="2"/>
        </w:numPr>
        <w:spacing w:after="80" w:line="280"/>
      </w:pPr>
      <w:r>
        <w:rPr>
          <w:b/>
          <w:bCs/>
        </w:rPr>
        <w:t xml:space="preserve">Personal data handling.</w:t>
      </w:r>
      <w:r>
        <w:t xml:space="preserve"> Cases include personal information about petitioners and respondents. Storage and display must comply with India's Digital Personal Data Protection Act (DPDP), 2023.</w:t>
      </w:r>
    </w:p>
    <w:p>
      <w:pPr>
        <w:pStyle w:val="ListParagraph"/>
        <w:numPr>
          <w:ilvl w:val="0"/>
          <w:numId w:val="2"/>
        </w:numPr>
        <w:spacing w:after="80" w:line="280"/>
      </w:pPr>
      <w:r>
        <w:rPr>
          <w:b/>
          <w:bCs/>
        </w:rPr>
        <w:t xml:space="preserve">Terms of use.</w:t>
      </w:r>
      <w:r>
        <w:t xml:space="preserve"> Each third-party provider has its own ToS regarding data redistribution, caching duration, and downstream commercial use. Review carefully before relying on cached data for resale.</w:t>
      </w:r>
    </w:p>
    <w:p>
      <w:pPr>
        <w:pStyle w:val="Heading1"/>
      </w:pPr>
      <w:r>
        <w:t xml:space="preserve">Cost Analysis</w:t>
      </w:r>
    </w:p>
    <w:p>
      <w:pPr>
        <w:spacing w:after="160" w:line="300"/>
      </w:pPr>
      <w:r>
        <w:t xml:space="preserve">Cost has four components: API subscription/usage fees, hosting infrastructure, one-time engineering effort, and ongoing maintenance. Each is broken down below.</w:t>
      </w:r>
    </w:p>
    <w:p>
      <w:pPr>
        <w:pStyle w:val="Heading2"/>
      </w:pPr>
      <w:r>
        <w:t xml:space="preserve">Provider Comparison</w:t>
      </w:r>
    </w:p>
    <w:p>
      <w:pPr>
        <w:spacing w:after="160" w:line="300"/>
      </w:pPr>
      <w:r>
        <w:t xml:space="preserve">Most providers do not list per-request prices publicly and require a sales conversation for a precise quote. The figures below are industry-typical ranges based on competitive pricing for Indian legal-data APIs as of 2026. </w:t>
      </w:r>
      <w:r>
        <w:rPr>
          <w:b/>
          <w:bCs/>
        </w:rPr>
        <w:t xml:space="preserve">Get a written quote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Provider</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Pricing Model</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Typical Range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Best For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eCourtsIndia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Per-request credits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₹2–8 per CNR lookup; ₹200 free credits on signup</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Pay-as-you-go workloads, broad court coverage incl. SC and tribunals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Vakeel360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Fixed monthly subscription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₹3,000–₹25,000/month depending on tier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Predictable monthly billing; limited District Court coverage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eciapi.akshit.me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Per-request; free for non-commercial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Free for personal/educational/research; commercial pricing on request</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Prototyping, research projects, small commercial volumes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LegalKart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Setup fee + per-hit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One-time setup ₹5,000–₹25,000; per-hit ₹3–10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Enterprise customers needing dedicated support</w:t>
            </w:r>
          </w:p>
        </w:tc>
      </w:tr>
    </w:tbl>
    <w:p>
      <w:pPr>
        <w:spacing w:after="120" w:line="300"/>
      </w:pPr>
      <w:r>
        <w:t xml:space="preserve"/>
      </w:r>
    </w:p>
    <w:p>
      <w:pPr>
        <w:pStyle w:val="Heading2"/>
      </w:pPr>
      <w:r>
        <w:t xml:space="preserve">Estimated API Cost at 1,000–10,000 Lookups/Month</w:t>
      </w:r>
    </w:p>
    <w:p>
      <w:pPr>
        <w:spacing w:after="160" w:line="300"/>
      </w:pPr>
      <w:r>
        <w:t xml:space="preserve">With the recommended caching strategy (1-hour TTL on case details, 6-hour TTL on orders, 30-minute TTL on party search), expect </w:t>
      </w:r>
      <w:r>
        <w:rPr>
          <w:b/>
          <w:bCs/>
        </w:rPr>
        <w:t xml:space="preserve">30–50% cache hit rate</w:t>
      </w:r>
      <w:r>
        <w:t xml:space="preserve"> in steady state for a typical user-facing search application. This means actual paid API calls drop to roughly 50–70% of total user-initiated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Monthly Volume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Paid API Calls (after cache)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Per-Request Model</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Subscription Model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1,000 lookups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~600–700 calls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₹1,200–₹5,600</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₹3,000 (lowest tier)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5,000 lookups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~3,000–3,500 calls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₹6,000–₹28,000</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₹5,000–₹10,000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10,000 lookups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~6,000–7,000 calls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₹12,000–₹56,000</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₹10,000–₹15,000</w:t>
            </w:r>
          </w:p>
        </w:tc>
      </w:tr>
    </w:tbl>
    <w:p>
      <w:pPr>
        <w:spacing w:after="120" w:line="300"/>
      </w:pPr>
      <w:r>
        <w:t xml:space="preserve"/>
      </w:r>
    </w:p>
    <w:p>
      <w:pPr>
        <w:spacing w:after="160" w:line="300"/>
      </w:pPr>
      <w:r>
        <w:rPr>
          <w:b/>
          <w:bCs/>
        </w:rPr>
        <w:t xml:space="preserve">Reading the table:</w:t>
      </w:r>
      <w:r>
        <w:t xml:space="preserve"> At expected volume, the per-request model is cheaper at the low end (1,000–3,000 lookups) and the subscription model is more cost-predictable at the high end (above 5,000 lookups). The break-even point is typically between 3,000 and 5,000 lookups per month.</w:t>
      </w:r>
    </w:p>
    <w:p>
      <w:pPr>
        <w:pStyle w:val="Heading2"/>
      </w:pPr>
      <w:r>
        <w:t xml:space="preserve">Hosting Infrastructure</w:t>
      </w:r>
    </w:p>
    <w:p>
      <w:pPr>
        <w:spacing w:after="160" w:line="300"/>
      </w:pPr>
      <w:r>
        <w:t xml:space="preserve">The Express service itself has very modest infrastructure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Component</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Recommendation</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Monthly Cost (INR)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Application server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1 small VM (1 vCPU, 1 GB RAM) on Hetzner / DigitalOcean / AWS Lightsail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₹400–₹1,200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Cache layer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In-memory (node-cache) for this volume; no separate Redis needed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Database (optional)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PostgreSQL on managed service for storing user portfolios / lookup history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₹0–₹1,500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Monitoring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UptimeRobot (free) + simple log shipping; upgrade to Sentry on growth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₹0–₹800</w:t>
            </w:r>
          </w:p>
        </w:tc>
      </w:tr>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Subtotal</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All hosting</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₹400–₹3,500/month</w:t>
            </w:r>
          </w:p>
        </w:tc>
      </w:tr>
    </w:tbl>
    <w:p>
      <w:pPr>
        <w:spacing w:after="120" w:line="300"/>
      </w:pPr>
      <w:r>
        <w:t xml:space="preserve"/>
      </w:r>
    </w:p>
    <w:p>
      <w:pPr>
        <w:pStyle w:val="Heading2"/>
      </w:pPr>
      <w:r>
        <w:t xml:space="preserve">One-Time Engineering Effort</w:t>
      </w:r>
    </w:p>
    <w:p>
      <w:pPr>
        <w:pStyle w:val="ListParagraph"/>
        <w:numPr>
          <w:ilvl w:val="0"/>
          <w:numId w:val="2"/>
        </w:numPr>
        <w:spacing w:after="80" w:line="280"/>
      </w:pPr>
      <w:r>
        <w:rPr>
          <w:b/>
          <w:bCs/>
        </w:rPr>
        <w:t xml:space="preserve">Backend integration</w:t>
      </w:r>
      <w:r>
        <w:t xml:space="preserve"> (Express service, API client, validators, error handling): 12–20 hours</w:t>
      </w:r>
    </w:p>
    <w:p>
      <w:pPr>
        <w:pStyle w:val="ListParagraph"/>
        <w:numPr>
          <w:ilvl w:val="0"/>
          <w:numId w:val="2"/>
        </w:numPr>
        <w:spacing w:after="80" w:line="280"/>
      </w:pPr>
      <w:r>
        <w:rPr>
          <w:b/>
          <w:bCs/>
        </w:rPr>
        <w:t xml:space="preserve">Frontend integration</w:t>
      </w:r>
      <w:r>
        <w:t xml:space="preserve"> (search form, results display, error UX): 8–16 hours</w:t>
      </w:r>
    </w:p>
    <w:p>
      <w:pPr>
        <w:pStyle w:val="ListParagraph"/>
        <w:numPr>
          <w:ilvl w:val="0"/>
          <w:numId w:val="2"/>
        </w:numPr>
        <w:spacing w:after="80" w:line="280"/>
      </w:pPr>
      <w:r>
        <w:rPr>
          <w:b/>
          <w:bCs/>
        </w:rPr>
        <w:t xml:space="preserve">Testing and provider evaluation</w:t>
      </w:r>
      <w:r>
        <w:t xml:space="preserve"> (sign up, run sample lookups, compare data quality): 4–8 hours</w:t>
      </w:r>
    </w:p>
    <w:p>
      <w:pPr>
        <w:pStyle w:val="ListParagraph"/>
        <w:numPr>
          <w:ilvl w:val="0"/>
          <w:numId w:val="2"/>
        </w:numPr>
        <w:spacing w:after="80" w:line="280"/>
      </w:pPr>
      <w:r>
        <w:rPr>
          <w:b/>
          <w:bCs/>
        </w:rPr>
        <w:t xml:space="preserve">Deployment and hardening</w:t>
      </w:r>
      <w:r>
        <w:t xml:space="preserve"> (CI/CD, secrets, monitoring): 4–8 hours</w:t>
      </w:r>
    </w:p>
    <w:p>
      <w:pPr>
        <w:spacing w:after="160" w:line="300"/>
      </w:pPr>
      <w:r>
        <w:rPr>
          <w:b/>
          <w:bCs/>
        </w:rPr>
        <w:t xml:space="preserve">Total one-time effort: 28–52 hours.</w:t>
      </w:r>
      <w:r>
        <w:t xml:space="preserve"> At a market rate of ₹1,000–₹2,500 per hour for a competent backend engineer in India, this translates to ₹28,000–₹130,000 in engineering cost, or proportionally less if done in-house.</w:t>
      </w:r>
    </w:p>
    <w:p>
      <w:pPr>
        <w:pStyle w:val="Heading2"/>
      </w:pPr>
      <w:r>
        <w:t xml:space="preserve">Ongoing Maintenance</w:t>
      </w:r>
    </w:p>
    <w:p>
      <w:pPr>
        <w:pStyle w:val="ListParagraph"/>
        <w:numPr>
          <w:ilvl w:val="0"/>
          <w:numId w:val="2"/>
        </w:numPr>
        <w:spacing w:after="80" w:line="280"/>
      </w:pPr>
      <w:r>
        <w:rPr>
          <w:b/>
          <w:bCs/>
        </w:rPr>
        <w:t xml:space="preserve">Provider API drift:</w:t>
      </w:r>
      <w:r>
        <w:t xml:space="preserve"> budget 2–4 hours/quarter to handle minor schema changes.</w:t>
      </w:r>
    </w:p>
    <w:p>
      <w:pPr>
        <w:pStyle w:val="ListParagraph"/>
        <w:numPr>
          <w:ilvl w:val="0"/>
          <w:numId w:val="2"/>
        </w:numPr>
        <w:spacing w:after="80" w:line="280"/>
      </w:pPr>
      <w:r>
        <w:rPr>
          <w:b/>
          <w:bCs/>
        </w:rPr>
        <w:t xml:space="preserve">Monitoring and incident response:</w:t>
      </w:r>
      <w:r>
        <w:t xml:space="preserve"> ad-hoc; typically under 1 hour/month at this volume.</w:t>
      </w:r>
    </w:p>
    <w:p>
      <w:pPr>
        <w:pStyle w:val="ListParagraph"/>
        <w:numPr>
          <w:ilvl w:val="0"/>
          <w:numId w:val="2"/>
        </w:numPr>
        <w:spacing w:after="80" w:line="280"/>
      </w:pPr>
      <w:r>
        <w:rPr>
          <w:b/>
          <w:bCs/>
        </w:rPr>
        <w:t xml:space="preserve">Court coverage gaps:</w:t>
      </w:r>
      <w:r>
        <w:t xml:space="preserve"> if you discover a court not covered by your primary provider, factor in a possible second-provider integration (8–16 hours).</w:t>
      </w:r>
    </w:p>
    <w:p>
      <w:pPr>
        <w:pStyle w:val="Heading2"/>
      </w:pPr>
      <w:r>
        <w:t xml:space="preserve">Total Cost of Ownership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Cost Component</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Estimated Range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API fees (recurring)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₹3,000–₹15,000 / month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Hosting (recurring)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₹400–₹3,500 / month</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Engineering build (one-time)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₹28,000–₹130,000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Maintenance (recurring)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₹2,000–₹8,000 / month equivalent</w:t>
            </w:r>
          </w:p>
        </w:tc>
      </w:tr>
      <w:tr>
        <w:tc>
          <w:tcPr>
            <w:tcW w:type="dxa" w:w="468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sz w:val="20"/>
                <w:szCs w:val="20"/>
              </w:rPr>
              <w:t xml:space="preserve">Recurring monthly total (steady state)</w:t>
            </w:r>
          </w:p>
        </w:tc>
        <w:tc>
          <w:tcPr>
            <w:tcW w:type="dxa" w:w="468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sz w:val="20"/>
                <w:szCs w:val="20"/>
              </w:rPr>
              <w:t xml:space="preserve">₹5,400–₹26,500 / month</w:t>
            </w:r>
          </w:p>
        </w:tc>
      </w:tr>
      <w:tr>
        <w:tc>
          <w:tcPr>
            <w:tcW w:type="dxa" w:w="468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sz w:val="20"/>
                <w:szCs w:val="20"/>
              </w:rPr>
              <w:t xml:space="preserve">Year-1 total cost (incl. build)</w:t>
            </w:r>
          </w:p>
        </w:tc>
        <w:tc>
          <w:tcPr>
            <w:tcW w:type="dxa" w:w="468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sz w:val="20"/>
                <w:szCs w:val="20"/>
              </w:rPr>
              <w:t xml:space="preserve">₹93,000–₹4,48,000</w:t>
            </w:r>
          </w:p>
        </w:tc>
      </w:tr>
    </w:tbl>
    <w:p>
      <w:pPr>
        <w:spacing w:after="120" w:line="300"/>
      </w:pPr>
      <w:r>
        <w:t xml:space="preserve"/>
      </w:r>
    </w:p>
    <w:p>
      <w:pPr>
        <w:pStyle w:val="Heading1"/>
      </w:pPr>
      <w:r>
        <w:t xml:space="preserve">Recommendations</w:t>
      </w:r>
    </w:p>
    <w:p>
      <w:pPr>
        <w:pStyle w:val="Heading2"/>
      </w:pPr>
      <w:r>
        <w:t xml:space="preserve">Phase 1 — Validate (Week 1)</w:t>
      </w:r>
    </w:p>
    <w:p>
      <w:pPr>
        <w:pStyle w:val="ListParagraph"/>
        <w:numPr>
          <w:ilvl w:val="0"/>
          <w:numId w:val="2"/>
        </w:numPr>
        <w:spacing w:after="80" w:line="280"/>
      </w:pPr>
      <w:r>
        <w:t xml:space="preserve">Sign up for free trials on both </w:t>
      </w:r>
      <w:r>
        <w:rPr>
          <w:b/>
          <w:bCs/>
        </w:rPr>
        <w:t xml:space="preserve">eCourtsIndia</w:t>
      </w:r>
      <w:r>
        <w:t xml:space="preserve"> (₹200 credits) and </w:t>
      </w:r>
      <w:r>
        <w:rPr>
          <w:b/>
          <w:bCs/>
        </w:rPr>
        <w:t xml:space="preserve">eciapi.akshit.me</w:t>
      </w:r>
      <w:r>
        <w:t xml:space="preserve"> (30 free requests).</w:t>
      </w:r>
    </w:p>
    <w:p>
      <w:pPr>
        <w:pStyle w:val="ListParagraph"/>
        <w:numPr>
          <w:ilvl w:val="0"/>
          <w:numId w:val="2"/>
        </w:numPr>
        <w:spacing w:after="80" w:line="280"/>
      </w:pPr>
      <w:r>
        <w:t xml:space="preserve">Run identical lookups against both — pick 5–10 real cases across different High Courts (Madras, Delhi, Bombay) and a few District Courts.</w:t>
      </w:r>
    </w:p>
    <w:p>
      <w:pPr>
        <w:pStyle w:val="ListParagraph"/>
        <w:numPr>
          <w:ilvl w:val="0"/>
          <w:numId w:val="2"/>
        </w:numPr>
        <w:spacing w:after="80" w:line="280"/>
      </w:pPr>
      <w:r>
        <w:t xml:space="preserve">Compare response shape, data completeness, and latency. Document findings.</w:t>
      </w:r>
    </w:p>
    <w:p>
      <w:pPr>
        <w:pStyle w:val="Heading2"/>
      </w:pPr>
      <w:r>
        <w:t xml:space="preserve">Phase 2 — Build (Weeks 2–3)</w:t>
      </w:r>
    </w:p>
    <w:p>
      <w:pPr>
        <w:pStyle w:val="ListParagraph"/>
        <w:numPr>
          <w:ilvl w:val="0"/>
          <w:numId w:val="2"/>
        </w:numPr>
        <w:spacing w:after="80" w:line="280"/>
      </w:pPr>
      <w:r>
        <w:t xml:space="preserve">Build the Express integration against the chosen provider, with the abstraction layer in place to allow switching.</w:t>
      </w:r>
    </w:p>
    <w:p>
      <w:pPr>
        <w:pStyle w:val="ListParagraph"/>
        <w:numPr>
          <w:ilvl w:val="0"/>
          <w:numId w:val="2"/>
        </w:numPr>
        <w:spacing w:after="80" w:line="280"/>
      </w:pPr>
      <w:r>
        <w:t xml:space="preserve">Implement aggressive caching: 1h on case details, 6h on orders, 30m on party search.</w:t>
      </w:r>
    </w:p>
    <w:p>
      <w:pPr>
        <w:pStyle w:val="ListParagraph"/>
        <w:numPr>
          <w:ilvl w:val="0"/>
          <w:numId w:val="2"/>
        </w:numPr>
        <w:spacing w:after="80" w:line="280"/>
      </w:pPr>
      <w:r>
        <w:t xml:space="preserve">Add circuit-breaker behaviour: if upstream fails for &gt;30 seconds, return cached-with-warning rather than hard errors.</w:t>
      </w:r>
    </w:p>
    <w:p>
      <w:pPr>
        <w:pStyle w:val="Heading2"/>
      </w:pPr>
      <w:r>
        <w:t xml:space="preserve">Phase 3 — Launch and Measure (Week 4 onward)</w:t>
      </w:r>
    </w:p>
    <w:p>
      <w:pPr>
        <w:pStyle w:val="ListParagraph"/>
        <w:numPr>
          <w:ilvl w:val="0"/>
          <w:numId w:val="2"/>
        </w:numPr>
        <w:spacing w:after="80" w:line="280"/>
      </w:pPr>
      <w:r>
        <w:t xml:space="preserve">Track per-day API costs from day one. Most providers offer a usage dashboard; mirror it in your own logs.</w:t>
      </w:r>
    </w:p>
    <w:p>
      <w:pPr>
        <w:pStyle w:val="ListParagraph"/>
        <w:numPr>
          <w:ilvl w:val="0"/>
          <w:numId w:val="2"/>
        </w:numPr>
        <w:spacing w:after="80" w:line="280"/>
      </w:pPr>
      <w:r>
        <w:t xml:space="preserve">After 30 days, review actual cache hit rate and per-lookup cost. Negotiate volume pricing if monthly spend exceeds ₹10,000.</w:t>
      </w:r>
    </w:p>
    <w:p>
      <w:pPr>
        <w:pStyle w:val="ListParagraph"/>
        <w:numPr>
          <w:ilvl w:val="0"/>
          <w:numId w:val="2"/>
        </w:numPr>
        <w:spacing w:after="80" w:line="280"/>
      </w:pPr>
      <w:r>
        <w:t xml:space="preserve">Re-evaluate provider quarterly. Switching cost is ~16 hours given the abstraction layer.</w:t>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Risk</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Likelihood / Impact</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2"/>
                <w:szCs w:val="22"/>
              </w:rPr>
              <w:t xml:space="preserve">Mitigation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Provider API breaks unexpectedly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Medium / High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Provider abstraction layer; second provider account ready as fallback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Costs scale unexpectedly with user growth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 / Medium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Per-user rate limiting; cache aggressively; switch to subscription model above 5K lookups/month</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eCourts source portal goes down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Low–Medium / Medium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Serve stale cache with a clear staleness indicator; degrade gracefully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Provider goes out of business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 / High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Multi-provider abstraction; periodic export of user portfolios to your own DB</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DPDP / privacy compliance gap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Medium / High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Display only what users searched for; do not store third-party PII without lawful basis; consult counsel before launch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Court data is wrong or outdated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 / Medium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Show 'last updated' timestamp on every result; 'Refresh from source' button for paranoid users</w:t>
            </w:r>
          </w:p>
        </w:tc>
      </w:tr>
    </w:tbl>
    <w:p>
      <w:pPr>
        <w:spacing w:after="120" w:line="300"/>
      </w:pPr>
      <w:r>
        <w:t xml:space="preserve"/>
      </w:r>
    </w:p>
    <w:p>
      <w:pPr>
        <w:pStyle w:val="Heading1"/>
      </w:pPr>
      <w:r>
        <w:t xml:space="preserve">Conclusion</w:t>
      </w:r>
    </w:p>
    <w:p>
      <w:pPr>
        <w:spacing w:after="160" w:line="300"/>
      </w:pPr>
      <w:r>
        <w:t xml:space="preserve">Building this feature is technically straightforward and economically reasonable. The dominant cost driver is API fees, which scale with usage and can be controlled through caching. The dominant risk is provider dependency, which is mitigated by maintaining a clean abstraction layer and a fallback provider.</w:t>
      </w:r>
    </w:p>
    <w:p>
      <w:pPr>
        <w:spacing w:after="160" w:line="300"/>
      </w:pPr>
      <w:r>
        <w:t xml:space="preserve">At the expected volume of 1,000–10,000 lookups per month, </w:t>
      </w:r>
      <w:r>
        <w:rPr>
          <w:b/>
          <w:bCs/>
        </w:rPr>
        <w:t xml:space="preserve">a recurring monthly run-rate of ₹5,000–₹25,000 is realistic, with a one-time build cost of ₹30,000–₹130,000</w:t>
      </w:r>
      <w:r>
        <w:t xml:space="preserve">. The feature can ship in 3–4 weeks with one backend engineer.</w:t>
      </w:r>
    </w:p>
    <w:p>
      <w:pPr>
        <w:spacing w:after="160" w:line="300"/>
      </w:pPr>
      <w:r>
        <w:rPr>
          <w:b/>
          <w:bCs/>
        </w:rPr>
        <w:t xml:space="preserve">Recommended next step:</w:t>
      </w:r>
      <w:r>
        <w:t xml:space="preserve"> sign up for trial accounts at eCourtsIndia and eciapi.akshit.me, run a head-to-head data-quality comparison on 10 real cases, then commit to the winning provider for Phase 2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eCourts India Integration — Feasibility, Constraints &amp; Cost</dc:title>
  <dc:creator>Claude</dc:creator>
  <cp:lastModifiedBy>Un-named</cp:lastModifiedBy>
  <cp:revision>1</cp:revision>
  <dcterms:created xsi:type="dcterms:W3CDTF">2026-05-05T14:01:11.191Z</dcterms:created>
  <dcterms:modified xsi:type="dcterms:W3CDTF">2026-05-05T14:01:11.207Z</dcterms:modified>
</cp:coreProperties>
</file>

<file path=docProps/custom.xml><?xml version="1.0" encoding="utf-8"?>
<Properties xmlns="http://schemas.openxmlformats.org/officeDocument/2006/custom-properties" xmlns:vt="http://schemas.openxmlformats.org/officeDocument/2006/docPropsVTypes"/>
</file>