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CLAIM PETITION UNDER SECTION 166 OF THE MOTOR VEHICLES ACT, 1988</w:t>
      </w:r>
    </w:p>
    <w:p>
      <w:r>
        <w:t xml:space="preserve">[DRAFT — for advocate review; not to be filed until reviewed and signed off]</w:t>
      </w:r>
    </w:p>
    <w:p/>
    <w:p>
      <w:r>
        <w:t xml:space="preserve">1. The claimant(s): Tmt. S. Kavitha (widow), Minor K. Harish (son), aged 9, Minor K. Divya (daughter), aged 6, being the dependants of the deceased.</w:t>
      </w:r>
    </w:p>
    <w:p>
      <w:r>
        <w:t xml:space="preserve">2. [to be drafted]</w:t>
      </w:r>
    </w:p>
    <w:p>
      <w:r>
        <w:t xml:space="preserve">3. The accident on 2024-05-22 was caused by the rash and negligent driving of the offending vehicle.</w:t>
      </w:r>
    </w:p>
    <w:p>
      <w:r>
        <w:t xml:space="preserve">4. FIR and police proceedings: Crime No. 231/2024, Sriperumbudur Traffic Investigation Wing.</w:t>
      </w:r>
    </w:p>
    <w:p>
      <w:r>
        <w:t xml:space="preserve">5. Vehicle TN 20 CH 4587; owner Thiru. M. Ganesan; driver Thiru. R. Selvam; insurer United India Insurance Co. Ltd. (policy 1305003124P109876543).</w:t>
      </w:r>
    </w:p>
    <w:p>
      <w:r>
        <w:t xml:space="preserve"/>
      </w:r>
    </w:p>
    <w:p>
      <w:r>
        <w:t xml:space="preserve">6. Victim: aged 36, permanent salaried, annual income Rs. 420000/-.</w:t>
      </w:r>
    </w:p>
    <w:p>
      <w:r>
        <w:t xml:space="preserve">7. COMPUTATION [figures unverified — pending advocate review]:</w:t>
      </w:r>
    </w:p>
    <w:p>
      <w:r>
        <w:t xml:space="preserve"/>
      </w:r>
    </w:p>
    <w:p>
      <w:r>
        <w:t xml:space="preserve">   Multiplicand Rs. 420000/- x multiplier 15 = loss of dependency Rs. 6300000/-.</w:t>
      </w:r>
    </w:p>
    <w:p>
      <w:r>
        <w:t xml:space="preserve">   Conventional heads:</w:t>
      </w:r>
    </w:p>
    <w:p>
      <w:r>
        <w:t xml:space="preserve"/>
      </w:r>
    </w:p>
    <w:p>
      <w:r>
        <w:t xml:space="preserve">     - loss of estate: Rs. 15000/-.</w:t>
      </w:r>
    </w:p>
    <w:p>
      <w:r>
        <w:t xml:space="preserve"/>
      </w:r>
    </w:p>
    <w:p>
      <w:r>
        <w:t xml:space="preserve">     - loss of consortium: Rs. 40000/-.</w:t>
      </w:r>
    </w:p>
    <w:p>
      <w:r>
        <w:t xml:space="preserve"/>
      </w:r>
    </w:p>
    <w:p>
      <w:r>
        <w:t xml:space="preserve">     - funeral expenses: Rs. 15000/-.</w:t>
      </w:r>
    </w:p>
    <w:p>
      <w:r>
        <w:t xml:space="preserve"/>
      </w:r>
    </w:p>
    <w:p>
      <w:r>
        <w:t xml:space="preserve">   (conventional heads are subject to periodic enhancement (Pranay Sethi: by 10% every three years) — VERIFY the current figures.)</w:t>
      </w:r>
    </w:p>
    <w:p>
      <w:r>
        <w:t xml:space="preserve"/>
      </w:r>
    </w:p>
    <w:p>
      <w:r>
        <w:t xml:space="preserve">   TOTAL Rs. 6370000/-.</w:t>
      </w:r>
    </w:p>
    <w:p>
      <w:r>
        <w:t xml:space="preserve">8. JURISDICTION: the accident occurred at Sriperumbudur, within the jurisdiction of this Tribunal (s.166(2) MV Act).</w:t>
      </w:r>
    </w:p>
    <w:p>
      <w:r>
        <w:t xml:space="preserve">9. PRAYER: compensation of Rs. 6370000/- with interest and costs [figures unverified — pending advocate review].</w:t>
      </w:r>
    </w:p>
    <w:p/>
    <w:p>
      <w:r>
        <w:t xml:space="preserve">Place: Kancheepuram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