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PLAINT UNDER ORDER VII CPC</w:t>
      </w:r>
    </w:p>
    <w:p>
      <w:r>
        <w:t xml:space="preserve">[DRAFT — for advocate review; not to be filed until reviewed and signed off]</w:t>
      </w:r>
    </w:p>
    <w:p>
      <w:r>
        <w:t xml:space="preserve">[figures unverified — pending advocate review]</w:t>
      </w:r>
    </w:p>
    <w:p/>
    <w:p>
      <w:r>
        <w:t xml:space="preserve">1. The plaintiff is M/s Anand Steel Traders, rep. by its Proprietor R. Anand.</w:t>
      </w:r>
    </w:p>
    <w:p>
      <w:r>
        <w:t xml:space="preserve">2. The defendant(s): Thiru. S. Balaji, Proprietor, Balaji Constructions.</w:t>
      </w:r>
    </w:p>
    <w:p>
      <w:r>
        <w:t xml:space="preserve">3. [to be drafted]</w:t>
      </w:r>
    </w:p>
    <w:p>
      <w:r>
        <w:t>4. The terms agreed between the parties were as pleaded above.</w:t>
      </w:r>
    </w:p>
    <w:p>
      <w:r>
        <w:t xml:space="preserve">5. [to be drafted]</w:t>
      </w:r>
    </w:p>
    <w:p>
      <w:r>
        <w:t xml:space="preserve">6. [to be drafted]</w:t>
      </w:r>
    </w:p>
    <w:p>
      <w:r>
        <w:t xml:space="preserve">7. Part payments and acknowledgements are as pleaded.</w:t>
      </w:r>
    </w:p>
    <w:p>
      <w:r>
        <w:t xml:space="preserve">8. ACCOUNT STATEMENT: principal Rs. 680000/-, interest Rs. 122400/- (contractual at 18.0% per annum vide credit-supply agreement dated 02-01-2023, clause 7), total claimed Rs. 802400/-.</w:t>
      </w:r>
    </w:p>
    <w:p>
      <w:r>
        <w:t xml:space="preserve">9. [to be drafted]</w:t>
      </w:r>
    </w:p>
    <w:p>
      <w:r>
        <w:t xml:space="preserve">10. CAUSE OF ACTION: the cause of action arose on 2023-03-15 at Madurai.</w:t>
      </w:r>
    </w:p>
    <w:p>
      <w:r>
        <w:t xml:space="preserve">11. JURISDICTION: the suit is valued at Rs. 802400/-, within the pecuniary jurisdiction of the subordinate_judge. This Court has territorial jurisdiction under s.20 CPC on the following basis(es): defendant_resides; cause_of_action_part_arose.</w:t>
      </w:r>
    </w:p>
    <w:p>
      <w:r>
        <w:t xml:space="preserve">12. LIMITATION: the suit is within time under Article 19 of the Limitation Act 1963; the period computed from 2023-03-15 expires on 2026-03-15.</w:t>
      </w:r>
    </w:p>
    <w:p>
      <w:r>
        <w:t xml:space="preserve"/>
      </w:r>
    </w:p>
    <w:p>
      <w:r>
        <w:t xml:space="preserve"/>
      </w:r>
    </w:p>
    <w:p>
      <w:r>
        <w:t xml:space="preserve">13. COURT FEE: the suit is valued at ad valorem on the sum of Rs. 802400/- claimed; court fee of Rs. 66490/- is paid.</w:t>
      </w:r>
    </w:p>
    <w:p>
      <w:r>
        <w:t xml:space="preserve">14. PRAYER: it is prayed that this Hon'ble Court may be pleased to decree the suit for Rs. 802400/- with costs, and thus render justice.</w:t>
      </w:r>
    </w:p>
    <w:p/>
    <w:p>
      <w:r>
        <w:t xml:space="preserve">Place: Madurai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