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 xml:space="preserve">PETITION FOR REGULAR BAIL UNDER SECTION 483 BNSS</w:t>
      </w:r>
    </w:p>
    <w:p>
      <w:r>
        <w:t xml:space="preserve">[DRAFT — for advocate review; not to be filed until reviewed and signed off]</w:t>
      </w:r>
    </w:p>
    <w:p>
      <w:r>
        <w:t xml:space="preserve">[figures unverified — pending advocate review]</w:t>
      </w:r>
    </w:p>
    <w:p/>
    <w:p>
      <w:r>
        <w:t xml:space="preserve">1. The petitioner, Dinesh Kumar @ Dinesh, aged 34, lorry driver, residing at 47, Kamaraj Nagar, Avadi, Chennai 600054, is the accused in Crime No. 812/2024 of Avadi, Tiruvallur, and is presently in custody at Puzhal Central Prison, Chennai.</w:t>
      </w:r>
    </w:p>
    <w:p>
      <w:r>
        <w:t xml:space="preserve">2. Prosecution case in brief: [to be drafted]</w:t>
      </w:r>
    </w:p>
    <w:p>
      <w:r>
        <w:t xml:space="preserve">3. The offence is registered under BNS s.303(2), BNS s.317(2).</w:t>
      </w:r>
    </w:p>
    <w:p>
      <w:r>
        <w:t xml:space="preserve">4. The petitioner was taken into custody on 2024-09-16 and has, as on 2024-12-20, been in custody for 96 days.</w:t>
      </w:r>
    </w:p>
    <w:p>
      <w:r>
        <w:t xml:space="preserve">5. Investigation status: the charge sheet has been filed.</w:t>
      </w:r>
    </w:p>
    <w:p>
      <w:r>
        <w:t xml:space="preserve"/>
      </w:r>
    </w:p>
    <w:p>
      <w:r>
        <w:t xml:space="preserve"/>
      </w:r>
    </w:p>
    <w:p>
      <w:r>
        <w:t xml:space="preserve">6. GROUNDS: [to be drafted]</w:t>
      </w:r>
    </w:p>
    <w:p>
      <w:r>
        <w:t xml:space="preserve"/>
      </w:r>
    </w:p>
    <w:p>
      <w:r>
        <w:t>7. The petitioner undertakes to cooperate with the investigation and trial, attend court as and when required, not tamper with evidence or influence witnesses, and not leave the jurisdiction without leave.</w:t>
      </w:r>
    </w:p>
    <w:p>
      <w:r>
        <w:t>8. It is prayed that this Hon'ble Court may be pleased to enlarge the petitioner on bail on such conditions as it deems fit, and thus render justice.</w:t>
      </w:r>
    </w:p>
    <w:p/>
    <w:p>
      <w:r>
        <w:t xml:space="preserve">Place: Chennai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