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URGENT PETITION (UNDER SECTION 151 OF THE CODE OF CIVIL PROCEDURE)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petitioner_name }}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{{ respondent_name }}                          ... Respondent</w:t>
      </w:r>
    </w:p>
    <w:p/>
    <w:p>
      <w:r>
        <w:t>The petitioner above-named prays that the application taken out by the petitioner herein, namely {{ underlying_application }}, seeking {{ orders_prayed }}, may be treated as urgent.</w:t>
      </w:r>
    </w:p>
    <w:p/>
    <w:p>
      <w:r>
        <w:t>Place: {{ place }}{% if petition_date %}          Dated: {{ petition_date }}{% endif %}</w:t>
      </w:r>
    </w:p>
    <w:p>
      <w:pPr>
        <w:jc w:val="right"/>
      </w:pPr>
      <w:r>
        <w:t>Advocate for Petitioner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