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C — Refusal Conditions (typed catalogue)</w:t>
      </w:r>
    </w:p>
    <w:p>
      <w:r>
        <w:t>Every condition under which a pipeline refuses to generate a document, with its stable machine code, severity, the implicated fields, and the exact message the advocate sees. GENERATED by driving each pipeline into the refusal and reading back its structured Refusal — not hand-maintained, so it cannot drift from the code. The `code` column is the contract the frontend branches on.</w:t>
      </w:r>
    </w:p>
    <w:p>
      <w:r>
        <w:t>_43 refusal conditions across 17 documents; all coded._</w:t>
      </w:r>
    </w:p>
    <w:p>
      <w:pPr>
        <w:pStyle w:val="Heading2"/>
      </w:pPr>
      <w:r>
        <w:t>2.1 — General demand notice</w:t>
      </w:r>
    </w:p>
    <w:p>
      <w:r>
        <w:t>Code — Sev — Fields — Message the advocate sees</w:t>
      </w:r>
    </w:p>
    <w:p>
      <w:r>
        <w:t>`general_notice_non_positive_demand` — hard — demand_amount — a demand notice must specify a positive sum demanded</w:t>
      </w:r>
    </w:p>
    <w:p>
      <w:r>
        <w:t>`general_notice_compliance_below_statutory_minimum` — hard — compliance_days, statutory_minimum_days — compliance period of 7 days is below the statutory minimum of 15 days that applies to this notice</w:t>
      </w:r>
    </w:p>
    <w:p>
      <w:r>
        <w:t>`general_notice_no_specific_consequence` — hard — civil_consequence, criminal_consequence — a specific consequence of non-compliance must be stated (civil suit and/or criminal proceedings); a vague threat is not sufficient</w:t>
      </w:r>
    </w:p>
    <w:p>
      <w:r>
        <w:t>`general_notice_dispatch_proof_missing` — hard — dispatch_tracking_placeholder — dispatch proof placeholder is mandatory</w:t>
      </w:r>
    </w:p>
    <w:p>
      <w:pPr>
        <w:pStyle w:val="Heading2"/>
      </w:pPr>
      <w:r>
        <w:t>2.2 — s.138 statutory notice</w:t>
      </w:r>
    </w:p>
    <w:p>
      <w:r>
        <w:t>Code — Sev — Fields — Message the advocate sees</w:t>
      </w:r>
    </w:p>
    <w:p>
      <w:r>
        <w:t>`s138_notice_no_cheque_particulars` — hard — cheques — notice has no cheque particulars</w:t>
      </w:r>
    </w:p>
    <w:p>
      <w:r>
        <w:t>`s138_notice_memo_receipt_date_missing` — hard — memo_received_date — date of receipt of the dishonour memo is required — the limitation anchor is the receipt date, not the memo date</w:t>
      </w:r>
    </w:p>
    <w:p>
      <w:r>
        <w:t>`s138_notice_dishonour_reason_missing` — hard — dishonour_reason — dishonour reason (as stated in the bank memo, verbatim) is required</w:t>
      </w:r>
    </w:p>
    <w:p>
      <w:r>
        <w:t>`s138_notice_dispatch_proof_missing` — hard — dispatch_tracking_placeholder — dispatch proof placeholder is mandatory (proof of dispatch must be recorded on the notice)</w:t>
      </w:r>
    </w:p>
    <w:p>
      <w:r>
        <w:t>`s138_notice_compliance_period_not_15_days` — hard — compliance_days — compliance period must be exactly 15 days (got 20); the drawer's statutory time to pay cannot be shortened or extended</w:t>
      </w:r>
    </w:p>
    <w:p>
      <w:pPr>
        <w:pStyle w:val="Heading2"/>
      </w:pPr>
      <w:r>
        <w:t>3.1 — s.138 complaint</w:t>
      </w:r>
    </w:p>
    <w:p>
      <w:r>
        <w:t>Code — Sev — Fields — Message the advocate sees</w:t>
      </w:r>
    </w:p>
    <w:p>
      <w:r>
        <w:t>`s138_complaint_complainant_not_payee_or_holder` — hard — is_payee — the complainant must be the payee or holder in due course of the cheque(s); this is a mandatory averment</w:t>
      </w:r>
    </w:p>
    <w:p>
      <w:r>
        <w:t>`s138_complaint_company_accused_no_s141_averment` — hard — accused_is_company, s141_averment — company accused without the s.141 averment that the person(s) sought to be made vicariously liable were in charge of and responsible for the conduct of the business at the relevant time; the complaint is defective and will not be generated</w:t>
      </w:r>
    </w:p>
    <w:p>
      <w:r>
        <w:t>`s138_complaint_payee_bank_branch_outside_jurisdiction` — hard — payee_bank_branch_in_jurisdiction — the payee's bank branch does not fall within this court's territorial jurisdiction (s.142(2) NI Act); the complaint cannot be filed here</w:t>
      </w:r>
    </w:p>
    <w:p>
      <w:pPr>
        <w:pStyle w:val="Heading2"/>
      </w:pPr>
      <w:r>
        <w:t>3.2 — Regular bail</w:t>
      </w:r>
    </w:p>
    <w:p>
      <w:r>
        <w:t>Code — Sev — Fields — Message the advocate sees</w:t>
      </w:r>
    </w:p>
    <w:p>
      <w:r>
        <w:t>`regular_bail_special_statute_bar_unaddressed` — hard — special_statute, bail_bar_addressed — special statute s.37 NDPS engages a statutory bail bar that must be addressed head-on; the application does not address it</w:t>
      </w:r>
    </w:p>
    <w:p>
      <w:r>
        <w:t>`regular_bail_successive_without_prior_order` — hard — is_successive, prior_order_ref — successive bail application requires a reference to the prior order (disclosure is mandatory)</w:t>
      </w:r>
    </w:p>
    <w:p>
      <w:r>
        <w:t>`regular_bail_successive_without_change_of_circumstance` — hard — is_successive, change_of_circumstance — successive bail application requires a change-of-circumstance averment since the prior refusal</w:t>
      </w:r>
    </w:p>
    <w:p>
      <w:pPr>
        <w:pStyle w:val="Heading2"/>
      </w:pPr>
      <w:r>
        <w:t>3.3 — Anticipatory bail</w:t>
      </w:r>
    </w:p>
    <w:p>
      <w:r>
        <w:t>Code — Sev — Fields — Message the advocate sees</w:t>
      </w:r>
    </w:p>
    <w:p>
      <w:r>
        <w:t>`anticipatory_bail_already_arrested` — hard — already_arrested — Anticipatory bail unavailable: the applicant is already arrested. Route to a regular bail application.</w:t>
      </w:r>
    </w:p>
    <w:p>
      <w:r>
        <w:t>`anticipatory_bail_scst_barred` — hard — is_scst_offence — Anticipatory bail barred: the offence is under the SC/ST (Prevention of Atrocities) Act; section 18 / 18A bars the grant of anticipatory bail.</w:t>
      </w:r>
    </w:p>
    <w:p>
      <w:r>
        <w:t>`anticipatory_bail_apprehension_basis_not_stated` — hard — apprehension_basis — a reasonable apprehension of arrest must be stated with its basis; a bare assertion is not sufficient</w:t>
      </w:r>
    </w:p>
    <w:p>
      <w:pPr>
        <w:pStyle w:val="Heading2"/>
      </w:pPr>
      <w:r>
        <w:t>3.4 — Default bail</w:t>
      </w:r>
    </w:p>
    <w:p>
      <w:r>
        <w:t>Code — Sev — Fields — Message the advocate sees</w:t>
      </w:r>
    </w:p>
    <w:p>
      <w:r>
        <w:t>`default_bail_readiness_not_averred` — hard — readiness_to_furnish_bail — Default bail not made out: the application lacks the express averment of readiness to furnish bail, which is required to avail the right under s.167(2)/s.187.</w:t>
      </w:r>
    </w:p>
    <w:p>
      <w:r>
        <w:t>`default_bail_right_extinguished` — hard — application_ts, chargesheet_filed_ts — Default bail right extinguished: the final report (chargesheet) was filed before the application was presented, so the indefeasible right under s.167(2)/s.187 was not availed in time.</w:t>
      </w:r>
    </w:p>
    <w:p>
      <w:r>
        <w:t>`default_bail_precedence_indeterminate` — hard — application_ts, chargesheet_filed_ts — Default bail precedence indeterminate: the application and the final report cannot be ordered in time from the record (timestamps equal or missing). Establish which was presented first before proceeding.</w:t>
      </w:r>
    </w:p>
    <w:p>
      <w:pPr>
        <w:pStyle w:val="Heading2"/>
      </w:pPr>
      <w:r>
        <w:t>4.1 — Plaint (money recovery)</w:t>
      </w:r>
    </w:p>
    <w:p>
      <w:r>
        <w:t>Code — Sev — Fields — Message the advocate sees</w:t>
      </w:r>
    </w:p>
    <w:p>
      <w:r>
        <w:t>`plaint_cause_of_action_date_missing` — hard — cause_of_action_date — cause of action requires a date; it is missing</w:t>
      </w:r>
    </w:p>
    <w:p>
      <w:r>
        <w:t>`plaint_cause_of_action_place_missing` — hard — cause_of_action_place — cause of action requires a place; it is missing</w:t>
      </w:r>
    </w:p>
    <w:p>
      <w:r>
        <w:t>`jurisdiction_no_territorial_basis` — hard — territorial_bases — no territorial jurisdiction basis pleaded; s.20 CPC requires that the defendant reside or carry on business within the court's limits, or that the cause of action wholly or in part arose there</w:t>
      </w:r>
    </w:p>
    <w:p>
      <w:r>
        <w:t>`plaint_s80_cpc_notice_missing` — hard — is_government_defendant, s80_notice_ref — the defendant is the Government/a public officer; a notice under s.80 CPC is mandatory and its averment is missing</w:t>
      </w:r>
    </w:p>
    <w:p>
      <w:r>
        <w:t>`plaint_s12a_mediation_missing` — hard — is_commercial_suit, s12a_ref — commercial suit requires a s.12A pre-institution mediation certificate or a pleaded exemption; it is missing</w:t>
      </w:r>
    </w:p>
    <w:p>
      <w:pPr>
        <w:pStyle w:val="Heading2"/>
      </w:pPr>
      <w:r>
        <w:t>4.1-O37 — Summary suit (O37)</w:t>
      </w:r>
    </w:p>
    <w:p>
      <w:r>
        <w:t>Code — Sev — Fields — Message the advocate sees</w:t>
      </w:r>
    </w:p>
    <w:p>
      <w:r>
        <w:t>`summary_suit_out_of_o37_scope` — hard — claim_basis — the claim does not fall within the scope of Order XXXVII (written contract, bill of exchange, promissory note, or a liquidated demand arising from an enactment); a summary suit is not maintainable</w:t>
      </w:r>
    </w:p>
    <w:p>
      <w:pPr>
        <w:pStyle w:val="Heading2"/>
      </w:pPr>
      <w:r>
        <w:t>4.2 — Temporary injunction</w:t>
      </w:r>
    </w:p>
    <w:p>
      <w:r>
        <w:t>Code — Sev — Fields — Message the advocate sees</w:t>
      </w:r>
    </w:p>
    <w:p>
      <w:r>
        <w:t>`injunction_triad_missing_prima_facie` — hard — prima_facie_case — the prima facie case limb is missing or empty; all three limbs of the injunction triad must be pleaded as separately headed paragraphs, and a missing limb is fatal</w:t>
      </w:r>
    </w:p>
    <w:p>
      <w:r>
        <w:t>`injunction_triad_missing_balance_of_convenience` — hard — balance_of_convenience — the balance of convenience limb is missing or empty; all three limbs of the injunction triad must be pleaded as separately headed paragraphs, and a missing limb is fatal</w:t>
      </w:r>
    </w:p>
    <w:p>
      <w:r>
        <w:t>`injunction_triad_missing_irreparable_injury` — hard — irreparable_injury — the irreparable injury limb is missing or empty; all three limbs of the injunction triad must be pleaded as separately headed paragraphs, and a missing limb is fatal</w:t>
      </w:r>
    </w:p>
    <w:p>
      <w:pPr>
        <w:pStyle w:val="Heading2"/>
      </w:pPr>
      <w:r>
        <w:t>5.1 — Writ petition (Art. 226)</w:t>
      </w:r>
    </w:p>
    <w:p>
      <w:r>
        <w:t>Code — Sev — Fields — Message the advocate sees</w:t>
      </w:r>
    </w:p>
    <w:p>
      <w:r>
        <w:t>`writ_mandamus_no_legal_right` — hard — legal_right — mandamus requires a legal right in the petitioner; none pleaded</w:t>
      </w:r>
    </w:p>
    <w:p>
      <w:r>
        <w:t>`writ_no_state_respondent` — hard — respondents — writ petition not maintainable: the respondent(s) are private parties with no State / instrumentality (Art. 12) or public-function respondent</w:t>
      </w:r>
    </w:p>
    <w:p>
      <w:r>
        <w:t>`writ_alternative_remedy_not_addressed` — hard — alternative_remedy_addressed — the availability of an alternative remedy is not addressed; an unaddressed alternative remedy is a maintainability failure, not a stylistic gap</w:t>
      </w:r>
    </w:p>
    <w:p>
      <w:pPr>
        <w:pStyle w:val="Heading2"/>
      </w:pPr>
      <w:r>
        <w:t>6.1 — Contested divorce (HMA s.13)</w:t>
      </w:r>
    </w:p>
    <w:p>
      <w:r>
        <w:t>Code — Sev — Fields — Message the advocate sees</w:t>
      </w:r>
    </w:p>
    <w:p>
      <w:r>
        <w:t>`divorce_contested_cruelty_no_dated_instance` — hard — cruelty_instances — cruelty must be pleaded with at least one dated instance; general allegations are insufficient</w:t>
      </w:r>
    </w:p>
    <w:p>
      <w:pPr>
        <w:pStyle w:val="Heading2"/>
      </w:pPr>
      <w:r>
        <w:t>6.2-first — Mutual-consent divorce — first motion</w:t>
      </w:r>
    </w:p>
    <w:p>
      <w:r>
        <w:t>Code — Sev — Fields — Message the advocate sees</w:t>
      </w:r>
    </w:p>
    <w:p>
      <w:r>
        <w:t>`divorce_mutual_first_separation_under_one_year` — hard — living_separately_since, first_motion_date — the parties must have been living separately for one year or more before the first motion; the period is not made out</w:t>
      </w:r>
    </w:p>
    <w:p>
      <w:pPr>
        <w:pStyle w:val="Heading2"/>
      </w:pPr>
      <w:r>
        <w:t>6.2-second — Mutual-consent divorce — second motion</w:t>
      </w:r>
    </w:p>
    <w:p>
      <w:r>
        <w:t>Code — Sev — Fields — Message the advocate sees</w:t>
      </w:r>
    </w:p>
    <w:p>
      <w:r>
        <w:t>`divorce_mutual_second_after_eighteen_months` — hard — first_motion_order_date, second_motion_date — the second motion must be moved within eighteen months of the first-motion order; the window has closed</w:t>
      </w:r>
    </w:p>
    <w:p>
      <w:pPr>
        <w:pStyle w:val="Heading2"/>
      </w:pPr>
      <w:r>
        <w:t>6.3 — Maintenance (BNSS 144 / CrPC 125)</w:t>
      </w:r>
    </w:p>
    <w:p>
      <w:r>
        <w:t>Code — Sev — Fields — Message the advocate sees</w:t>
      </w:r>
    </w:p>
    <w:p>
      <w:r>
        <w:t>`maintenance_neglect_not_pleaded` — hard — neglect_or_refusal_pleaded — neglect or refusal to maintain is the statutory trigger under s.144 BNSS / s.125 CrPC and must be pleaded expressly; it is absent</w:t>
      </w:r>
    </w:p>
    <w:p>
      <w:r>
        <w:t>`maintenance_rajnesh_affidavit_absent` — hard — petitioner_rajnesh_affidavit — the petitioner's affidavit of assets and liabilities (Rajnesh v. Neha) is mandatory and is absent</w:t>
      </w:r>
    </w:p>
    <w:p>
      <w:pPr>
        <w:pStyle w:val="Heading2"/>
      </w:pPr>
      <w:r>
        <w:t>6.4 — DV Act s.12 application</w:t>
      </w:r>
    </w:p>
    <w:p>
      <w:r>
        <w:t>Code — Sev — Fields — Message the advocate sees</w:t>
      </w:r>
    </w:p>
    <w:p>
      <w:r>
        <w:t>`dv_domestic_relationship_not_pleaded` — hard — domestic_relationship_pleaded, domestic_relationship_basis — the domestic relationship is the jurisdictional fact under the DV Act and must be pleaded expressly with its basis; it is absent</w:t>
      </w:r>
    </w:p>
    <w:p>
      <w:pPr>
        <w:pStyle w:val="Heading2"/>
      </w:pPr>
      <w:r>
        <w:t>7.1 — Consumer complaint</w:t>
      </w:r>
    </w:p>
    <w:p>
      <w:r>
        <w:t>Code — Sev — Fields — Message the advocate sees</w:t>
      </w:r>
    </w:p>
    <w:p>
      <w:r>
        <w:t>`consumer_commercial_purpose_not_consumer` — hard — purpose — the goods/services were obtained for a commercial purpose; the complainant is not a 'consumer' under s.2(7) of the Consumer Protection Act 2019. (Note: purchase for self-employment to earn a livelihood is not a commercial purpose.)</w:t>
      </w:r>
    </w:p>
    <w:p>
      <w:r>
        <w:t>`consumer_affidavit_absent` — hard — affidavit_present — the complaint must be supported by an affidavit</w:t>
      </w:r>
    </w:p>
    <w:p>
      <w:r>
        <w:t>`consumer_evidence_affidavit_absent` — hard — evidence_affidavit_present — an evidence affidavit is required and is absent</w:t>
      </w:r>
    </w:p>
    <w:p>
      <w:pPr>
        <w:pStyle w:val="Heading2"/>
      </w:pPr>
      <w:r>
        <w:t>7.2 — MACT claim (MV Act s.166)</w:t>
      </w:r>
    </w:p>
    <w:p>
      <w:r>
        <w:t>Code — Sev — Fields — Message the advocate sees</w:t>
      </w:r>
    </w:p>
    <w:p>
      <w:r>
        <w:t>`mact_claim_rash_negligent_not_pleaded` — hard — rash_negligent_pleaded — rash and negligent driving must be pleaded expressly; it is the jurisdictional averment for a claim under s.166 MV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