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p>
    <w:p>
      <w:pPr>
        <w:spacing w:after="120" w:before="0"/>
        <w:jc w:val="center"/>
      </w:pPr>
      <w:r>
        <w:rPr>
          <w:rFonts w:ascii="Arial" w:cs="Arial" w:eastAsia="Arial" w:hAnsi="Arial"/>
          <w:b/>
          <w:bCs/>
          <w:color w:val="1A3A5C"/>
          <w:sz w:val="36"/>
          <w:szCs w:val="36"/>
        </w:rPr>
        <w:t xml:space="preserve">TECHNICAL &amp; FINANCIAL PROPOSAL</w:t>
      </w:r>
    </w:p>
    <w:p>
      <w:pPr>
        <w:spacing w:after="80" w:before="0"/>
        <w:jc w:val="center"/>
      </w:pPr>
      <w:r>
        <w:rPr>
          <w:rFonts w:ascii="Arial" w:cs="Arial" w:eastAsia="Arial" w:hAnsi="Arial"/>
          <w:b/>
          <w:bCs/>
          <w:color w:val="0070C0"/>
          <w:sz w:val="28"/>
          <w:szCs w:val="28"/>
        </w:rPr>
        <w:t xml:space="preserve">Enterprise IT Infrastructure &amp; Management System (EIMS)</w:t>
      </w:r>
    </w:p>
    <w:p>
      <w:pPr>
        <w:spacing w:after="80" w:before="0"/>
        <w:jc w:val="center"/>
      </w:pPr>
      <w:r>
        <w:rPr>
          <w:rFonts w:ascii="Arial" w:cs="Arial" w:eastAsia="Arial" w:hAnsi="Arial"/>
          <w:color w:val="777777"/>
          <w:sz w:val="24"/>
          <w:szCs w:val="24"/>
        </w:rPr>
        <w:t xml:space="preserve">Punjab Revenue Authority (PRA) | PITB</w:t>
      </w:r>
    </w:p>
    <w:p>
      <w:pPr>
        <w:spacing w:after="80" w:before="200"/>
        <w:jc w:val="center"/>
      </w:pPr>
      <w:r>
        <w:rPr>
          <w:rFonts w:ascii="Arial" w:cs="Arial" w:eastAsia="Arial" w:hAnsi="Arial"/>
          <w:b/>
          <w:bCs/>
          <w:color w:val="1A3A5C"/>
          <w:sz w:val="22"/>
          <w:szCs w:val="22"/>
        </w:rPr>
        <w:t xml:space="preserve">Submitted by: TechVista Systems (Pvt.) Ltd.</w:t>
      </w:r>
    </w:p>
    <w:p>
      <w:pPr>
        <w:spacing w:after="80" w:before="0"/>
        <w:jc w:val="center"/>
      </w:pPr>
      <w:r>
        <w:rPr>
          <w:rFonts w:ascii="Arial" w:cs="Arial" w:eastAsia="Arial" w:hAnsi="Arial"/>
          <w:color w:val="555555"/>
          <w:sz w:val="20"/>
          <w:szCs w:val="20"/>
        </w:rPr>
        <w:t xml:space="preserve">Bid Reference: PITB/PRA/EIMS/2025-26/001  |  Submission Date: 01 August 2025</w:t>
      </w:r>
    </w:p>
    <w:p>
      <w:pPr>
        <w:spacing w:after="0" w:before="1200"/>
      </w:pPr>
    </w:p>
    <w:p>
      <w:r>
        <w:br w:type="page"/>
      </w:r>
    </w:p>
    <w:p>
      <w:pPr>
        <w:pStyle w:val="Heading1"/>
        <w:spacing w:after="100" w:before="200"/>
      </w:pPr>
      <w:r>
        <w:rPr>
          <w:rFonts w:ascii="Arial" w:cs="Arial" w:eastAsia="Arial" w:hAnsi="Arial"/>
        </w:rPr>
        <w:t xml:space="preserve">1. Project Summary Dashboard</w:t>
      </w:r>
    </w:p>
    <w:p>
      <w:pPr>
        <w:spacing w:after="80" w:before="60"/>
        <w:jc w:val="both"/>
      </w:pPr>
      <w:r>
        <w:rPr>
          <w:rFonts w:ascii="Arial" w:cs="Arial" w:eastAsia="Arial" w:hAnsi="Arial"/>
          <w:b w:val="false"/>
          <w:bCs w:val="false"/>
          <w:i w:val="false"/>
          <w:iCs w:val="false"/>
          <w:color w:val="404040"/>
          <w:sz w:val="20"/>
          <w:szCs w:val="20"/>
        </w:rPr>
        <w:t xml:space="preserve">The table below provides a consolidated overview of all key parameters for this procurement engagement.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PROJECT SUMMARY DASHBOARD</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Project Name</w:t>
            </w:r>
          </w:p>
        </w:tc>
        <w:tc>
          <w:tcPr>
            <w:tcW w:type="dxa" w:w="6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404040"/>
                <w:sz w:val="19"/>
                <w:szCs w:val="19"/>
              </w:rPr>
              <w:t xml:space="preserve">PITB/PRA Enterprise IT Infrastructure &amp; Management System</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Client</w:t>
            </w:r>
          </w:p>
        </w:tc>
        <w:tc>
          <w:tcPr>
            <w:tcW w:type="dxa" w:w="6360"/>
            <w:tcBorders>
              <w:top w:val="single" w:color="CCCCCC" w:sz="4"/>
              <w:left w:val="single" w:color="CCCCCC" w:sz="4"/>
              <w:bottom w:val="single" w:color="CCCCCC" w:sz="4"/>
              <w:right w:val="single" w:color="CCCCCC" w:sz="4"/>
            </w:tcBorders>
            <w:shd w:fill="F2F4F7" w:val="clear"/>
            <w:tcMar>
              <w:top w:type="dxa" w:w="70"/>
              <w:left w:type="dxa" w:w="100"/>
              <w:bottom w:type="dxa" w:w="70"/>
              <w:right w:type="dxa" w:w="100"/>
            </w:tcMar>
          </w:tcPr>
          <w:p>
            <w:r>
              <w:rPr>
                <w:rFonts w:ascii="Arial" w:cs="Arial" w:eastAsia="Arial" w:hAnsi="Arial"/>
                <w:color w:val="404040"/>
                <w:sz w:val="19"/>
                <w:szCs w:val="19"/>
              </w:rPr>
              <w:t xml:space="preserve">Punjab Revenue Authority (PRA), Government of Punjab</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Procurement Authority</w:t>
            </w:r>
          </w:p>
        </w:tc>
        <w:tc>
          <w:tcPr>
            <w:tcW w:type="dxa" w:w="6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404040"/>
                <w:sz w:val="19"/>
                <w:szCs w:val="19"/>
              </w:rPr>
              <w:t xml:space="preserve">Punjab Information Technology Board (PITB)</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RFP Reference No.</w:t>
            </w:r>
          </w:p>
        </w:tc>
        <w:tc>
          <w:tcPr>
            <w:tcW w:type="dxa" w:w="6360"/>
            <w:tcBorders>
              <w:top w:val="single" w:color="CCCCCC" w:sz="4"/>
              <w:left w:val="single" w:color="CCCCCC" w:sz="4"/>
              <w:bottom w:val="single" w:color="CCCCCC" w:sz="4"/>
              <w:right w:val="single" w:color="CCCCCC" w:sz="4"/>
            </w:tcBorders>
            <w:shd w:fill="F2F4F7" w:val="clear"/>
            <w:tcMar>
              <w:top w:type="dxa" w:w="70"/>
              <w:left w:type="dxa" w:w="100"/>
              <w:bottom w:type="dxa" w:w="70"/>
              <w:right w:type="dxa" w:w="100"/>
            </w:tcMar>
          </w:tcPr>
          <w:p>
            <w:r>
              <w:rPr>
                <w:rFonts w:ascii="Arial" w:cs="Arial" w:eastAsia="Arial" w:hAnsi="Arial"/>
                <w:color w:val="404040"/>
                <w:sz w:val="19"/>
                <w:szCs w:val="19"/>
              </w:rPr>
              <w:t xml:space="preserve">PITB/PRA/EIMS/2025-26/001</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Project Value (PKR)</w:t>
            </w:r>
          </w:p>
        </w:tc>
        <w:tc>
          <w:tcPr>
            <w:tcW w:type="dxa" w:w="6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404040"/>
                <w:sz w:val="19"/>
                <w:szCs w:val="19"/>
              </w:rPr>
              <w:t xml:space="preserve">612,500,000 (incl. O&amp;M)</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Contract Duration</w:t>
            </w:r>
          </w:p>
        </w:tc>
        <w:tc>
          <w:tcPr>
            <w:tcW w:type="dxa" w:w="6360"/>
            <w:tcBorders>
              <w:top w:val="single" w:color="CCCCCC" w:sz="4"/>
              <w:left w:val="single" w:color="CCCCCC" w:sz="4"/>
              <w:bottom w:val="single" w:color="CCCCCC" w:sz="4"/>
              <w:right w:val="single" w:color="CCCCCC" w:sz="4"/>
            </w:tcBorders>
            <w:shd w:fill="F2F4F7" w:val="clear"/>
            <w:tcMar>
              <w:top w:type="dxa" w:w="70"/>
              <w:left w:type="dxa" w:w="100"/>
              <w:bottom w:type="dxa" w:w="70"/>
              <w:right w:type="dxa" w:w="100"/>
            </w:tcMar>
          </w:tcPr>
          <w:p>
            <w:r>
              <w:rPr>
                <w:rFonts w:ascii="Arial" w:cs="Arial" w:eastAsia="Arial" w:hAnsi="Arial"/>
                <w:color w:val="404040"/>
                <w:sz w:val="19"/>
                <w:szCs w:val="19"/>
              </w:rPr>
              <w:t xml:space="preserve">9 months (implementation) + 5 years (O&amp;M)</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Submission Deadline</w:t>
            </w:r>
          </w:p>
        </w:tc>
        <w:tc>
          <w:tcPr>
            <w:tcW w:type="dxa" w:w="6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404040"/>
                <w:sz w:val="19"/>
                <w:szCs w:val="19"/>
              </w:rPr>
              <w:t xml:space="preserve">04 August 2025 – 3:00 PM (PST)</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Procurement Method</w:t>
            </w:r>
          </w:p>
        </w:tc>
        <w:tc>
          <w:tcPr>
            <w:tcW w:type="dxa" w:w="6360"/>
            <w:tcBorders>
              <w:top w:val="single" w:color="CCCCCC" w:sz="4"/>
              <w:left w:val="single" w:color="CCCCCC" w:sz="4"/>
              <w:bottom w:val="single" w:color="CCCCCC" w:sz="4"/>
              <w:right w:val="single" w:color="CCCCCC" w:sz="4"/>
            </w:tcBorders>
            <w:shd w:fill="F2F4F7" w:val="clear"/>
            <w:tcMar>
              <w:top w:type="dxa" w:w="70"/>
              <w:left w:type="dxa" w:w="100"/>
              <w:bottom w:type="dxa" w:w="70"/>
              <w:right w:type="dxa" w:w="100"/>
            </w:tcMar>
          </w:tcPr>
          <w:p>
            <w:r>
              <w:rPr>
                <w:rFonts w:ascii="Arial" w:cs="Arial" w:eastAsia="Arial" w:hAnsi="Arial"/>
                <w:color w:val="404040"/>
                <w:sz w:val="19"/>
                <w:szCs w:val="19"/>
              </w:rPr>
              <w:t xml:space="preserve">QCBS – Quality and Cost Based Selection (70:30)</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Minimum Technical Score</w:t>
            </w:r>
          </w:p>
        </w:tc>
        <w:tc>
          <w:tcPr>
            <w:tcW w:type="dxa" w:w="6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404040"/>
                <w:sz w:val="19"/>
                <w:szCs w:val="19"/>
              </w:rPr>
              <w:t xml:space="preserve">70% (49 out of 70 marks)</w:t>
            </w:r>
          </w:p>
        </w:tc>
      </w:tr>
      <w:tr>
        <w:tc>
          <w:tcPr>
            <w:tcW w:type="dxa" w:w="3000"/>
            <w:tcBorders>
              <w:top w:val="single" w:color="999999" w:sz="4"/>
              <w:left w:val="single" w:color="999999" w:sz="4"/>
              <w:bottom w:val="single" w:color="999999" w:sz="4"/>
              <w:right w:val="single" w:color="999999" w:sz="4"/>
            </w:tcBorders>
            <w:shd w:fill="D6E4F7" w:val="clear"/>
            <w:tcMar>
              <w:top w:type="dxa" w:w="70"/>
              <w:left w:type="dxa" w:w="100"/>
              <w:bottom w:type="dxa" w:w="70"/>
              <w:right w:type="dxa" w:w="100"/>
            </w:tcMar>
          </w:tcPr>
          <w:p>
            <w:r>
              <w:rPr>
                <w:rFonts w:ascii="Arial" w:cs="Arial" w:eastAsia="Arial" w:hAnsi="Arial"/>
                <w:b/>
                <w:bCs/>
                <w:color w:val="1A3A5C"/>
                <w:sz w:val="19"/>
                <w:szCs w:val="19"/>
              </w:rPr>
              <w:t xml:space="preserve">Performance Security</w:t>
            </w:r>
          </w:p>
        </w:tc>
        <w:tc>
          <w:tcPr>
            <w:tcW w:type="dxa" w:w="6360"/>
            <w:tcBorders>
              <w:top w:val="single" w:color="CCCCCC" w:sz="4"/>
              <w:left w:val="single" w:color="CCCCCC" w:sz="4"/>
              <w:bottom w:val="single" w:color="CCCCCC" w:sz="4"/>
              <w:right w:val="single" w:color="CCCCCC" w:sz="4"/>
            </w:tcBorders>
            <w:shd w:fill="F2F4F7" w:val="clear"/>
            <w:tcMar>
              <w:top w:type="dxa" w:w="70"/>
              <w:left w:type="dxa" w:w="100"/>
              <w:bottom w:type="dxa" w:w="70"/>
              <w:right w:type="dxa" w:w="100"/>
            </w:tcMar>
          </w:tcPr>
          <w:p>
            <w:r>
              <w:rPr>
                <w:rFonts w:ascii="Arial" w:cs="Arial" w:eastAsia="Arial" w:hAnsi="Arial"/>
                <w:color w:val="404040"/>
                <w:sz w:val="19"/>
                <w:szCs w:val="19"/>
              </w:rPr>
              <w:t xml:space="preserve">10% of total contract value</w:t>
            </w:r>
          </w:p>
        </w:tc>
      </w:tr>
    </w:tbl>
    <w:p>
      <w:pPr>
        <w:spacing w:after="80" w:before="80"/>
      </w:pPr>
      <w:r>
        <w:t xml:space="preserve"/>
      </w:r>
    </w:p>
    <w:p>
      <w:pPr>
        <w:spacing w:after="80" w:before="60"/>
        <w:jc w:val="both"/>
      </w:pPr>
      <w:r>
        <w:rPr>
          <w:rFonts w:ascii="Arial" w:cs="Arial" w:eastAsia="Arial" w:hAnsi="Arial"/>
          <w:b w:val="false"/>
          <w:bCs w:val="false"/>
          <w:i/>
          <w:iCs/>
          <w:color w:val="777777"/>
          <w:sz w:val="17"/>
          <w:szCs w:val="17"/>
        </w:rPr>
        <w:t xml:space="preserve">All references to PPRA Rules are to the Punjab Procurement Rules 2014 as amended by Notification No. SO(IT)2-1/2021 dated 15 March 2021.</w:t>
      </w:r>
    </w:p>
    <w:p>
      <w:r>
        <w:br w:type="page"/>
      </w:r>
    </w:p>
    <w:p>
      <w:pPr>
        <w:pStyle w:val="Heading1"/>
        <w:spacing w:after="100" w:before="200"/>
      </w:pPr>
      <w:r>
        <w:rPr>
          <w:rFonts w:ascii="Arial" w:cs="Arial" w:eastAsia="Arial" w:hAnsi="Arial"/>
        </w:rPr>
        <w:t xml:space="preserve">2. Pre-qualification &amp; Eligibility Compliance</w:t>
      </w:r>
    </w:p>
    <w:p>
      <w:pPr>
        <w:spacing w:after="80" w:before="60"/>
        <w:jc w:val="both"/>
      </w:pPr>
      <w:r>
        <w:rPr>
          <w:rFonts w:ascii="Arial" w:cs="Arial" w:eastAsia="Arial" w:hAnsi="Arial"/>
          <w:b w:val="false"/>
          <w:bCs w:val="false"/>
          <w:i w:val="false"/>
          <w:iCs w:val="false"/>
          <w:color w:val="404040"/>
          <w:sz w:val="20"/>
          <w:szCs w:val="20"/>
        </w:rPr>
        <w:t xml:space="preserve">TechVista Systems satisfies all mandatory pre-qualification criteria as set out in Section 3 of the RFP. The compliance matrix below maps each criterion against our documented evidence.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2200"/>
        <w:gridCol w:w="1160"/>
      </w:tblGrid>
      <w:tr>
        <w:trPr>
          <w:tblHeader/>
        </w:trPr>
        <w:tc>
          <w:tcPr>
            <w:tcW w:type="dxa" w:w="400"/>
            <w:tcBorders>
              <w:top w:val="single" w:color="1A3A5C" w:sz="4"/>
              <w:left w:val="single" w:color="1A3A5C" w:sz="4"/>
              <w:bottom w:val="single" w:color="1A3A5C" w:sz="4"/>
              <w:right w:val="single" w:color="1A3A5C" w:sz="4"/>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w:t>
            </w:r>
          </w:p>
        </w:tc>
        <w:tc>
          <w:tcPr>
            <w:tcW w:type="dxa" w:w="2600"/>
            <w:tcBorders>
              <w:top w:val="single" w:color="1A3A5C" w:sz="4"/>
              <w:left w:val="single" w:color="1A3A5C" w:sz="4"/>
              <w:bottom w:val="single" w:color="1A3A5C" w:sz="4"/>
              <w:right w:val="single" w:color="1A3A5C"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Criterion</w:t>
            </w:r>
          </w:p>
        </w:tc>
        <w:tc>
          <w:tcPr>
            <w:tcW w:type="dxa" w:w="3000"/>
            <w:tcBorders>
              <w:top w:val="single" w:color="1A3A5C" w:sz="4"/>
              <w:left w:val="single" w:color="1A3A5C" w:sz="4"/>
              <w:bottom w:val="single" w:color="1A3A5C" w:sz="4"/>
              <w:right w:val="single" w:color="1A3A5C"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Minimum Requirement</w:t>
            </w:r>
          </w:p>
        </w:tc>
        <w:tc>
          <w:tcPr>
            <w:tcW w:type="dxa" w:w="2200"/>
            <w:tcBorders>
              <w:top w:val="single" w:color="1A3A5C" w:sz="4"/>
              <w:left w:val="single" w:color="1A3A5C" w:sz="4"/>
              <w:bottom w:val="single" w:color="1A3A5C" w:sz="4"/>
              <w:right w:val="single" w:color="1A3A5C"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TechVista (Pvt.) Ltd.</w:t>
            </w:r>
          </w:p>
        </w:tc>
        <w:tc>
          <w:tcPr>
            <w:tcW w:type="dxa" w:w="1160"/>
            <w:tcBorders>
              <w:top w:val="single" w:color="1A3A5C" w:sz="4"/>
              <w:left w:val="single" w:color="1A3A5C" w:sz="4"/>
              <w:bottom w:val="single" w:color="1A3A5C" w:sz="4"/>
              <w:right w:val="single" w:color="1A3A5C" w:sz="4"/>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Status</w:t>
            </w:r>
          </w:p>
        </w:tc>
      </w:tr>
      <w:tr>
        <w:trPr>
          <w:tblHeader w:val="false"/>
        </w:trPr>
        <w:tc>
          <w:tcPr>
            <w:tcW w:type="dxa" w:w="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Legal Registration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SECP reg., 7+ years operating</w:t>
            </w:r>
          </w:p>
        </w:tc>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Incorporated 2013 (12 years)</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2</w:t>
            </w:r>
          </w:p>
        </w:tc>
        <w:tc>
          <w:tcPr>
            <w:tcW w:type="dxa" w:w="26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Annual Turnover</w:t>
            </w:r>
          </w:p>
        </w:tc>
        <w:tc>
          <w:tcPr>
            <w:tcW w:type="dxa" w:w="3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Avg PKR 500M/year (last 3 FY)</w:t>
            </w:r>
          </w:p>
        </w:tc>
        <w:tc>
          <w:tcPr>
            <w:tcW w:type="dxa" w:w="2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PKR 563.7M avg (FY23-25)</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Relevant Projects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3 x Govt projects ≥ PKR 200M</w:t>
            </w:r>
          </w:p>
        </w:tc>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4 qualifying projects</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4</w:t>
            </w:r>
          </w:p>
        </w:tc>
        <w:tc>
          <w:tcPr>
            <w:tcW w:type="dxa" w:w="26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Technical Staff</w:t>
            </w:r>
          </w:p>
        </w:tc>
        <w:tc>
          <w:tcPr>
            <w:tcW w:type="dxa" w:w="3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50 FT staff; 5 CCIE/CCNP; 3 VCP; 2 CISSP</w:t>
            </w:r>
          </w:p>
        </w:tc>
        <w:tc>
          <w:tcPr>
            <w:tcW w:type="dxa" w:w="2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163 FT; 7 CCIE/CCNP; 5 VCP; 3 CISSP</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5</w:t>
            </w:r>
          </w:p>
        </w:tc>
        <w:tc>
          <w:tcPr>
            <w:tcW w:type="dxa" w:w="2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OEM Partnerships</w:t>
            </w:r>
          </w:p>
        </w:tc>
        <w:tc>
          <w:tcPr>
            <w:tcW w:type="dxa" w:w="3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2 Gold OEM partnerships</w:t>
            </w:r>
          </w:p>
        </w:tc>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4 Gold (Cisco, HPE, Fortinet, VMware)</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6</w:t>
            </w:r>
          </w:p>
        </w:tc>
        <w:tc>
          <w:tcPr>
            <w:tcW w:type="dxa" w:w="26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ISO 9001:2015</w:t>
            </w:r>
          </w:p>
        </w:tc>
        <w:tc>
          <w:tcPr>
            <w:tcW w:type="dxa" w:w="3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Valid certificate required</w:t>
            </w:r>
          </w:p>
        </w:tc>
        <w:tc>
          <w:tcPr>
            <w:tcW w:type="dxa" w:w="2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Certified – expires Oct 2026</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7</w:t>
            </w:r>
          </w:p>
        </w:tc>
        <w:tc>
          <w:tcPr>
            <w:tcW w:type="dxa" w:w="2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ISO 27001:2022</w:t>
            </w:r>
          </w:p>
        </w:tc>
        <w:tc>
          <w:tcPr>
            <w:tcW w:type="dxa" w:w="3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Valid certificate required</w:t>
            </w:r>
          </w:p>
        </w:tc>
        <w:tc>
          <w:tcPr>
            <w:tcW w:type="dxa" w:w="2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Certified – expires Mar 2027</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r>
        <w:trPr>
          <w:tblHeader w:val="false"/>
        </w:trPr>
        <w:tc>
          <w:tcPr>
            <w:tcW w:type="dxa" w:w="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8</w:t>
            </w:r>
          </w:p>
        </w:tc>
        <w:tc>
          <w:tcPr>
            <w:tcW w:type="dxa" w:w="26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Tax Compliance</w:t>
            </w:r>
          </w:p>
        </w:tc>
        <w:tc>
          <w:tcPr>
            <w:tcW w:type="dxa" w:w="3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Active taxpayer, no blacklisting</w:t>
            </w:r>
          </w:p>
        </w:tc>
        <w:tc>
          <w:tcPr>
            <w:tcW w:type="dxa" w:w="2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Active ATL; no adverse record</w:t>
            </w:r>
          </w:p>
        </w:tc>
        <w:tc>
          <w:tcPr>
            <w:tcW w:type="dxa" w:w="1160"/>
            <w:tcBorders>
              <w:top w:val="single" w:color="CCCCCC" w:sz="4"/>
              <w:left w:val="single" w:color="CCCCCC" w:sz="4"/>
              <w:bottom w:val="single" w:color="CCCCCC" w:sz="4"/>
              <w:right w:val="single" w:color="CCCCCC" w:sz="4"/>
            </w:tcBorders>
            <w:shd w:fill="00703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PASS</w:t>
            </w:r>
          </w:p>
        </w:tc>
      </w:tr>
    </w:tbl>
    <w:p>
      <w:pPr>
        <w:spacing w:after="80" w:before="80"/>
      </w:pPr>
      <w:r>
        <w:t xml:space="preserve"/>
      </w:r>
    </w:p>
    <w:p>
      <w:pPr>
        <w:spacing w:after="80" w:before="60"/>
        <w:jc w:val="both"/>
      </w:pPr>
      <w:r>
        <w:rPr>
          <w:rFonts w:ascii="Arial" w:cs="Arial" w:eastAsia="Arial" w:hAnsi="Arial"/>
          <w:b w:val="false"/>
          <w:bCs w:val="false"/>
          <w:i/>
          <w:iCs/>
          <w:color w:val="777777"/>
          <w:sz w:val="17"/>
          <w:szCs w:val="17"/>
        </w:rPr>
        <w:t xml:space="preserve">Supporting documents for all criteria above are provided in Annexures A through G of this proposal.</w:t>
      </w:r>
    </w:p>
    <w:p>
      <w:r>
        <w:br w:type="page"/>
      </w:r>
    </w:p>
    <w:p>
      <w:pPr>
        <w:pStyle w:val="Heading1"/>
        <w:spacing w:after="100" w:before="200"/>
      </w:pPr>
      <w:r>
        <w:rPr>
          <w:rFonts w:ascii="Arial" w:cs="Arial" w:eastAsia="Arial" w:hAnsi="Arial"/>
        </w:rPr>
        <w:t xml:space="preserve">3. Bill of Quantities (Financial Proposal)</w:t>
      </w:r>
    </w:p>
    <w:p>
      <w:pPr>
        <w:spacing w:after="80" w:before="60"/>
        <w:jc w:val="both"/>
      </w:pPr>
      <w:r>
        <w:rPr>
          <w:rFonts w:ascii="Arial" w:cs="Arial" w:eastAsia="Arial" w:hAnsi="Arial"/>
          <w:b w:val="false"/>
          <w:bCs w:val="false"/>
          <w:i w:val="false"/>
          <w:iCs w:val="false"/>
          <w:color w:val="404040"/>
          <w:sz w:val="20"/>
          <w:szCs w:val="20"/>
        </w:rPr>
        <w:t xml:space="preserve">The itemized Bill of Quantities below covers all four components of the scope of work. All prices are firm, fixed, and inclusive of applicable taxes. Prices remain valid for 120 days from the submission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1200"/>
        <w:gridCol w:w="1160"/>
        <w:gridCol w:w="1200"/>
      </w:tblGrid>
      <w:tr>
        <w:tc>
          <w:tcPr>
            <w:tcW w:type="dxa" w:w="4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w:t>
            </w:r>
          </w:p>
        </w:tc>
        <w:tc>
          <w:tcPr>
            <w:tcW w:type="dxa" w:w="54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left"/>
            </w:pPr>
            <w:r>
              <w:rPr>
                <w:rFonts w:ascii="Arial" w:cs="Arial" w:eastAsia="Arial" w:hAnsi="Arial"/>
                <w:b/>
                <w:bCs/>
                <w:color w:val="FFFFFF"/>
                <w:sz w:val="18"/>
                <w:szCs w:val="18"/>
              </w:rPr>
              <w:t xml:space="preserve">Description</w:t>
            </w:r>
          </w:p>
        </w:tc>
        <w:tc>
          <w:tcPr>
            <w:tcW w:type="dxa" w:w="12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left"/>
            </w:pPr>
            <w:r>
              <w:rPr>
                <w:rFonts w:ascii="Arial" w:cs="Arial" w:eastAsia="Arial" w:hAnsi="Arial"/>
                <w:b/>
                <w:bCs/>
                <w:color w:val="FFFFFF"/>
                <w:sz w:val="18"/>
                <w:szCs w:val="18"/>
              </w:rPr>
              <w:t xml:space="preserve">Qty</w:t>
            </w:r>
          </w:p>
        </w:tc>
        <w:tc>
          <w:tcPr>
            <w:tcW w:type="dxa" w:w="116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right"/>
            </w:pPr>
            <w:r>
              <w:rPr>
                <w:rFonts w:ascii="Arial" w:cs="Arial" w:eastAsia="Arial" w:hAnsi="Arial"/>
                <w:b/>
                <w:bCs/>
                <w:color w:val="FFFFFF"/>
                <w:sz w:val="18"/>
                <w:szCs w:val="18"/>
              </w:rPr>
              <w:t xml:space="preserve">Unit Price (PKR)</w:t>
            </w:r>
          </w:p>
        </w:tc>
        <w:tc>
          <w:tcPr>
            <w:tcW w:type="dxa" w:w="12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right"/>
            </w:pPr>
            <w:r>
              <w:rPr>
                <w:rFonts w:ascii="Arial" w:cs="Arial" w:eastAsia="Arial" w:hAnsi="Arial"/>
                <w:b/>
                <w:bCs/>
                <w:color w:val="FFFFFF"/>
                <w:sz w:val="18"/>
                <w:szCs w:val="18"/>
              </w:rPr>
              <w:t xml:space="preserve">Total (PKR)</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A</w:t>
            </w:r>
          </w:p>
        </w:tc>
        <w:tc>
          <w:tcPr>
            <w:tcW w:type="dxa" w:w="5400"/>
            <w:gridSpan w:val="3"/>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COMPONENT A – HARDWARE INFRASTRUCTURE</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267,900,000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A.1</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Cisco UCS C240 M7 Rack Server</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22</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5,200,000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114,400,000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A.2</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HPE Primera 630 SAN Storage Array (600TB raw)</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2</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28,500,000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57,000,000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A.3</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Cisco Nexus 9504 Core Switch (pair)</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2</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12,800,000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25,600,000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A.4</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Fortinet FortiGate 3300E NGFW (HA pair)</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18,500,000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18,500,000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A.5</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Structured Cabling Cat6A + Patch Panels</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lot</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8,200,000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8,200,000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A.6</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Eaton 9395P 600kVA UPS + Battery Banks</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2</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14,500,000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29,000,000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A.7</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Precision Air Conditioning (N+1 config)</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4</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3,800,000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15,200,000</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B</w:t>
            </w:r>
          </w:p>
        </w:tc>
        <w:tc>
          <w:tcPr>
            <w:tcW w:type="dxa" w:w="5400"/>
            <w:gridSpan w:val="3"/>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COMPONENT B – SOFTWARE &amp; LICENSING</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121,600,000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B.1</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VMware vSphere 8 Enterprise+ (22-host cluster)</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22</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1,850,000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40,700,000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B.2</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ServiceNow ITSM Platform (5-year subscription)</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32,000,000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32,000,000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B.3</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Splunk Enterprise Security (5-year license)</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28,500,000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28,500,000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B.4</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Microsoft Active Directory + Entra ID MFA</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12,000,000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12,000,000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B.5</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Veeam Backup &amp; Replication Enterprise Plus</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8,400,000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8,400,000</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C</w:t>
            </w:r>
          </w:p>
        </w:tc>
        <w:tc>
          <w:tcPr>
            <w:tcW w:type="dxa" w:w="5400"/>
            <w:gridSpan w:val="3"/>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COMPONENT C – IMPLEMENTATION SERVICES</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51,500,000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C.1</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Professional Services – Design, Deploy, Integrate</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lot</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45,000,000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45,000,000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C.2</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Training Program (50 PRA staff, 5 days)</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lot</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4,500,000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4,500,000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C.3</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Documentation and Knowledge Transfer</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lot</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2,000,000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2,000,000</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D</w:t>
            </w:r>
          </w:p>
        </w:tc>
        <w:tc>
          <w:tcPr>
            <w:tcW w:type="dxa" w:w="5400"/>
            <w:gridSpan w:val="3"/>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COMPONENT D – O&amp;M SERVICES (5 YEARS)</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140,000,000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D.1</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Year 1 Annual O&amp;M (24x7 NOC + Helpdesk)</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yr</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25,000,000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25,000,000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D.2</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Year 2 Annual O&amp;M</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yr</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26,500,000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26,500,000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D.3</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Year 3 Annual O&amp;M</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yr</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28,000,000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28,000,000</w:t>
            </w:r>
          </w:p>
        </w:tc>
      </w:tr>
      <w:tr>
        <w:tc>
          <w:tcPr>
            <w:tcW w:type="dxa" w:w="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D.4</w:t>
            </w:r>
          </w:p>
        </w:tc>
        <w:tc>
          <w:tcPr>
            <w:tcW w:type="dxa" w:w="54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Year 4 Annual O&amp;M</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yr</w:t>
            </w:r>
          </w:p>
        </w:tc>
        <w:tc>
          <w:tcPr>
            <w:tcW w:type="dxa" w:w="116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29,500,000</w:t>
            </w:r>
          </w:p>
        </w:tc>
        <w:tc>
          <w:tcPr>
            <w:tcW w:type="dxa" w:w="1200"/>
            <w:gridSpan w:val="1"/>
            <w:tcBorders>
              <w:top w:val="single" w:color="BBBBBB" w:sz="4"/>
              <w:left w:val="single" w:color="BBBBBB" w:sz="4"/>
              <w:bottom w:val="single" w:color="BBBBBB" w:sz="4"/>
              <w:right w:val="single" w:color="BBBBBB" w:sz="4"/>
            </w:tcBorders>
            <w:shd w:fill="FFFFFF"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29,500,000</w:t>
            </w:r>
          </w:p>
        </w:tc>
      </w:tr>
      <w:tr>
        <w:tc>
          <w:tcPr>
            <w:tcW w:type="dxa" w:w="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center"/>
            </w:pPr>
            <w:r>
              <w:rPr>
                <w:rFonts w:ascii="Arial" w:cs="Arial" w:eastAsia="Arial" w:hAnsi="Arial"/>
                <w:b w:val="false"/>
                <w:bCs w:val="false"/>
                <w:color w:val="404040"/>
                <w:sz w:val="18"/>
                <w:szCs w:val="18"/>
              </w:rPr>
              <w:t xml:space="preserve">D.5</w:t>
            </w:r>
          </w:p>
        </w:tc>
        <w:tc>
          <w:tcPr>
            <w:tcW w:type="dxa" w:w="54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Year 5 Annual O&amp;M</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left"/>
            </w:pPr>
            <w:r>
              <w:rPr>
                <w:rFonts w:ascii="Arial" w:cs="Arial" w:eastAsia="Arial" w:hAnsi="Arial"/>
                <w:b w:val="false"/>
                <w:bCs w:val="false"/>
                <w:color w:val="404040"/>
                <w:sz w:val="18"/>
                <w:szCs w:val="18"/>
              </w:rPr>
              <w:t xml:space="preserve">1 yr</w:t>
            </w:r>
          </w:p>
        </w:tc>
        <w:tc>
          <w:tcPr>
            <w:tcW w:type="dxa" w:w="116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31,000,000</w:t>
            </w:r>
          </w:p>
        </w:tc>
        <w:tc>
          <w:tcPr>
            <w:tcW w:type="dxa" w:w="1200"/>
            <w:gridSpan w:val="1"/>
            <w:tcBorders>
              <w:top w:val="single" w:color="BBBBBB" w:sz="4"/>
              <w:left w:val="single" w:color="BBBBBB" w:sz="4"/>
              <w:bottom w:val="single" w:color="BBBBBB" w:sz="4"/>
              <w:right w:val="single" w:color="BBBBBB" w:sz="4"/>
            </w:tcBorders>
            <w:shd w:fill="F2F4F7" w:val="clear"/>
            <w:tcMar>
              <w:top w:type="dxa" w:w="60"/>
              <w:left w:type="dxa" w:w="90"/>
              <w:bottom w:type="dxa" w:w="60"/>
              <w:right w:type="dxa" w:w="90"/>
            </w:tcMar>
            <w:vAlign w:val="center"/>
          </w:tcPr>
          <w:p>
            <w:pPr>
              <w:jc w:val="right"/>
            </w:pPr>
            <w:r>
              <w:rPr>
                <w:rFonts w:ascii="Arial" w:cs="Arial" w:eastAsia="Arial" w:hAnsi="Arial"/>
                <w:b w:val="false"/>
                <w:bCs w:val="false"/>
                <w:color w:val="404040"/>
                <w:sz w:val="18"/>
                <w:szCs w:val="18"/>
              </w:rPr>
              <w:t xml:space="preserve">31,000,000</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
            </w:r>
          </w:p>
        </w:tc>
        <w:tc>
          <w:tcPr>
            <w:tcW w:type="dxa" w:w="5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TOTAL (Excl. Tax)</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
            </w:r>
          </w:p>
        </w:tc>
        <w:tc>
          <w:tcPr>
            <w:tcW w:type="dxa" w:w="116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581,000,000</w:t>
            </w:r>
          </w:p>
        </w:tc>
      </w:tr>
      <w:tr>
        <w:tc>
          <w:tcPr>
            <w:tcW w:type="dxa" w:w="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center"/>
            </w:pPr>
            <w:r>
              <w:rPr>
                <w:rFonts w:ascii="Arial" w:cs="Arial" w:eastAsia="Arial" w:hAnsi="Arial"/>
                <w:b/>
                <w:bCs/>
                <w:color w:val="404040"/>
                <w:sz w:val="18"/>
                <w:szCs w:val="18"/>
              </w:rPr>
              <w:t xml:space="preserve"/>
            </w:r>
          </w:p>
        </w:tc>
        <w:tc>
          <w:tcPr>
            <w:tcW w:type="dxa" w:w="54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GST / Sales Tax on Services @ 16%</w:t>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left"/>
            </w:pPr>
            <w:r>
              <w:rPr>
                <w:rFonts w:ascii="Arial" w:cs="Arial" w:eastAsia="Arial" w:hAnsi="Arial"/>
                <w:b/>
                <w:bCs/>
                <w:color w:val="404040"/>
                <w:sz w:val="18"/>
                <w:szCs w:val="18"/>
              </w:rPr>
              <w:t xml:space="preserve"/>
            </w:r>
          </w:p>
        </w:tc>
        <w:tc>
          <w:tcPr>
            <w:tcW w:type="dxa" w:w="116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
            </w:r>
          </w:p>
        </w:tc>
        <w:tc>
          <w:tcPr>
            <w:tcW w:type="dxa" w:w="1200"/>
            <w:gridSpan w:val="1"/>
            <w:tcBorders>
              <w:top w:val="single" w:color="BBBBBB" w:sz="4"/>
              <w:left w:val="single" w:color="BBBBBB" w:sz="4"/>
              <w:bottom w:val="single" w:color="BBBBBB" w:sz="4"/>
              <w:right w:val="single" w:color="BBBBBB" w:sz="4"/>
            </w:tcBorders>
            <w:shd w:fill="D6E4F7" w:val="clear"/>
            <w:tcMar>
              <w:top w:type="dxa" w:w="60"/>
              <w:left w:type="dxa" w:w="90"/>
              <w:bottom w:type="dxa" w:w="60"/>
              <w:right w:type="dxa" w:w="90"/>
            </w:tcMar>
            <w:vAlign w:val="center"/>
          </w:tcPr>
          <w:p>
            <w:pPr>
              <w:jc w:val="right"/>
            </w:pPr>
            <w:r>
              <w:rPr>
                <w:rFonts w:ascii="Arial" w:cs="Arial" w:eastAsia="Arial" w:hAnsi="Arial"/>
                <w:b/>
                <w:bCs/>
                <w:color w:val="404040"/>
                <w:sz w:val="18"/>
                <w:szCs w:val="18"/>
              </w:rPr>
              <w:t xml:space="preserve">31,500,000</w:t>
            </w:r>
          </w:p>
        </w:tc>
      </w:tr>
      <w:tr>
        <w:tc>
          <w:tcPr>
            <w:tcW w:type="dxa" w:w="4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
            </w:r>
          </w:p>
        </w:tc>
        <w:tc>
          <w:tcPr>
            <w:tcW w:type="dxa" w:w="54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left"/>
            </w:pPr>
            <w:r>
              <w:rPr>
                <w:rFonts w:ascii="Arial" w:cs="Arial" w:eastAsia="Arial" w:hAnsi="Arial"/>
                <w:b/>
                <w:bCs/>
                <w:color w:val="FFFFFF"/>
                <w:sz w:val="18"/>
                <w:szCs w:val="18"/>
              </w:rPr>
              <w:t xml:space="preserve">GRAND TOTAL (PKR)</w:t>
            </w:r>
          </w:p>
        </w:tc>
        <w:tc>
          <w:tcPr>
            <w:tcW w:type="dxa" w:w="12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left"/>
            </w:pPr>
            <w:r>
              <w:rPr>
                <w:rFonts w:ascii="Arial" w:cs="Arial" w:eastAsia="Arial" w:hAnsi="Arial"/>
                <w:b/>
                <w:bCs/>
                <w:color w:val="FFFFFF"/>
                <w:sz w:val="18"/>
                <w:szCs w:val="18"/>
              </w:rPr>
              <w:t xml:space="preserve"/>
            </w:r>
          </w:p>
        </w:tc>
        <w:tc>
          <w:tcPr>
            <w:tcW w:type="dxa" w:w="116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right"/>
            </w:pPr>
            <w:r>
              <w:rPr>
                <w:rFonts w:ascii="Arial" w:cs="Arial" w:eastAsia="Arial" w:hAnsi="Arial"/>
                <w:b/>
                <w:bCs/>
                <w:color w:val="FFFFFF"/>
                <w:sz w:val="18"/>
                <w:szCs w:val="18"/>
              </w:rPr>
              <w:t xml:space="preserve"/>
            </w:r>
          </w:p>
        </w:tc>
        <w:tc>
          <w:tcPr>
            <w:tcW w:type="dxa" w:w="1200"/>
            <w:gridSpan w:val="1"/>
            <w:tcBorders>
              <w:top w:val="single" w:color="BBBBBB" w:sz="4"/>
              <w:left w:val="single" w:color="BBBBBB" w:sz="4"/>
              <w:bottom w:val="single" w:color="BBBBBB" w:sz="4"/>
              <w:right w:val="single" w:color="BBBBBB" w:sz="4"/>
            </w:tcBorders>
            <w:shd w:fill="1A3A5C" w:val="clear"/>
            <w:tcMar>
              <w:top w:type="dxa" w:w="60"/>
              <w:left w:type="dxa" w:w="90"/>
              <w:bottom w:type="dxa" w:w="60"/>
              <w:right w:type="dxa" w:w="90"/>
            </w:tcMar>
            <w:vAlign w:val="center"/>
          </w:tcPr>
          <w:p>
            <w:pPr>
              <w:jc w:val="right"/>
            </w:pPr>
            <w:r>
              <w:rPr>
                <w:rFonts w:ascii="Arial" w:cs="Arial" w:eastAsia="Arial" w:hAnsi="Arial"/>
                <w:b/>
                <w:bCs/>
                <w:color w:val="FFFFFF"/>
                <w:sz w:val="18"/>
                <w:szCs w:val="18"/>
              </w:rPr>
              <w:t xml:space="preserve">612,500,000</w:t>
            </w:r>
          </w:p>
        </w:tc>
      </w:tr>
    </w:tbl>
    <w:p>
      <w:pPr>
        <w:spacing w:after="80" w:before="80"/>
      </w:pPr>
      <w:r>
        <w:t xml:space="preserve"/>
      </w:r>
    </w:p>
    <w:p>
      <w:pPr>
        <w:spacing w:after="80" w:before="60"/>
        <w:jc w:val="both"/>
      </w:pPr>
      <w:r>
        <w:rPr>
          <w:rFonts w:ascii="Arial" w:cs="Arial" w:eastAsia="Arial" w:hAnsi="Arial"/>
          <w:b w:val="false"/>
          <w:bCs w:val="false"/>
          <w:i/>
          <w:iCs/>
          <w:color w:val="777777"/>
          <w:sz w:val="17"/>
          <w:szCs w:val="17"/>
        </w:rPr>
        <w:t xml:space="preserve">Note: The above BOQ prices include delivery, installation, commissioning, one-year onsite warranty, and all applicable Federal and Provincial taxes. Bid Security of PKR 5,000,000 (Pay Order) is enclosed separately.</w:t>
      </w:r>
    </w:p>
    <w:p>
      <w:r>
        <w:br w:type="page"/>
      </w:r>
    </w:p>
    <w:p>
      <w:pPr>
        <w:pStyle w:val="Heading1"/>
        <w:spacing w:after="100" w:before="200"/>
      </w:pPr>
      <w:r>
        <w:rPr>
          <w:rFonts w:ascii="Arial" w:cs="Arial" w:eastAsia="Arial" w:hAnsi="Arial"/>
        </w:rPr>
        <w:t xml:space="preserve">4. Proposed Project Team</w:t>
      </w:r>
    </w:p>
    <w:p>
      <w:pPr>
        <w:spacing w:after="80" w:before="60"/>
        <w:jc w:val="both"/>
      </w:pPr>
      <w:r>
        <w:rPr>
          <w:rFonts w:ascii="Arial" w:cs="Arial" w:eastAsia="Arial" w:hAnsi="Arial"/>
          <w:b w:val="false"/>
          <w:bCs w:val="false"/>
          <w:i w:val="false"/>
          <w:iCs w:val="false"/>
          <w:color w:val="404040"/>
          <w:sz w:val="20"/>
          <w:szCs w:val="20"/>
        </w:rPr>
        <w:t xml:space="preserve">TechVista commits to deploying the following dedicated project team for the full project duration. All personnel listed are full-time employees of TechVista; no core roles will be subcontracted. CVs for all listed staff are attached in Annexure 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200"/>
        <w:gridCol w:w="1360"/>
      </w:tblGrid>
      <w:tr>
        <w:trPr>
          <w:tblHeader/>
        </w:trPr>
        <w:tc>
          <w:tcPr>
            <w:tcW w:type="dxa" w:w="2000"/>
            <w:tcBorders>
              <w:top w:val="single" w:color="0070C0" w:sz="4"/>
              <w:left w:val="single" w:color="0070C0" w:sz="4"/>
              <w:bottom w:val="single" w:color="0070C0" w:sz="4"/>
              <w:right w:val="single" w:color="0070C0" w:sz="4"/>
            </w:tcBorders>
            <w:shd w:fill="0070C0" w:val="clear"/>
            <w:tcMar>
              <w:top w:type="dxa" w:w="70"/>
              <w:left w:type="dxa" w:w="90"/>
              <w:bottom w:type="dxa" w:w="70"/>
              <w:right w:type="dxa" w:w="90"/>
            </w:tcMar>
          </w:tcPr>
          <w:p>
            <w:pPr>
              <w:jc w:val="left"/>
            </w:pPr>
            <w:r>
              <w:rPr>
                <w:rFonts w:ascii="Arial" w:cs="Arial" w:eastAsia="Arial" w:hAnsi="Arial"/>
                <w:b/>
                <w:bCs/>
                <w:color w:val="FFFFFF"/>
                <w:sz w:val="18"/>
                <w:szCs w:val="18"/>
              </w:rPr>
              <w:t xml:space="preserve">Name</w:t>
            </w:r>
          </w:p>
        </w:tc>
        <w:tc>
          <w:tcPr>
            <w:tcW w:type="dxa" w:w="2400"/>
            <w:tcBorders>
              <w:top w:val="single" w:color="0070C0" w:sz="4"/>
              <w:left w:val="single" w:color="0070C0" w:sz="4"/>
              <w:bottom w:val="single" w:color="0070C0" w:sz="4"/>
              <w:right w:val="single" w:color="0070C0" w:sz="4"/>
            </w:tcBorders>
            <w:shd w:fill="0070C0" w:val="clear"/>
            <w:tcMar>
              <w:top w:type="dxa" w:w="70"/>
              <w:left w:type="dxa" w:w="90"/>
              <w:bottom w:type="dxa" w:w="70"/>
              <w:right w:type="dxa" w:w="90"/>
            </w:tcMar>
          </w:tcPr>
          <w:p>
            <w:pPr>
              <w:jc w:val="left"/>
            </w:pPr>
            <w:r>
              <w:rPr>
                <w:rFonts w:ascii="Arial" w:cs="Arial" w:eastAsia="Arial" w:hAnsi="Arial"/>
                <w:b/>
                <w:bCs/>
                <w:color w:val="FFFFFF"/>
                <w:sz w:val="18"/>
                <w:szCs w:val="18"/>
              </w:rPr>
              <w:t xml:space="preserve">Role</w:t>
            </w:r>
          </w:p>
        </w:tc>
        <w:tc>
          <w:tcPr>
            <w:tcW w:type="dxa" w:w="2400"/>
            <w:tcBorders>
              <w:top w:val="single" w:color="0070C0" w:sz="4"/>
              <w:left w:val="single" w:color="0070C0" w:sz="4"/>
              <w:bottom w:val="single" w:color="0070C0" w:sz="4"/>
              <w:right w:val="single" w:color="0070C0" w:sz="4"/>
            </w:tcBorders>
            <w:shd w:fill="0070C0" w:val="clear"/>
            <w:tcMar>
              <w:top w:type="dxa" w:w="70"/>
              <w:left w:type="dxa" w:w="90"/>
              <w:bottom w:type="dxa" w:w="70"/>
              <w:right w:type="dxa" w:w="90"/>
            </w:tcMar>
          </w:tcPr>
          <w:p>
            <w:pPr>
              <w:jc w:val="left"/>
            </w:pPr>
            <w:r>
              <w:rPr>
                <w:rFonts w:ascii="Arial" w:cs="Arial" w:eastAsia="Arial" w:hAnsi="Arial"/>
                <w:b/>
                <w:bCs/>
                <w:color w:val="FFFFFF"/>
                <w:sz w:val="18"/>
                <w:szCs w:val="18"/>
              </w:rPr>
              <w:t xml:space="preserve">Qualifications</w:t>
            </w:r>
          </w:p>
        </w:tc>
        <w:tc>
          <w:tcPr>
            <w:tcW w:type="dxa" w:w="1200"/>
            <w:tcBorders>
              <w:top w:val="single" w:color="0070C0" w:sz="4"/>
              <w:left w:val="single" w:color="0070C0" w:sz="4"/>
              <w:bottom w:val="single" w:color="0070C0" w:sz="4"/>
              <w:right w:val="single" w:color="0070C0" w:sz="4"/>
            </w:tcBorders>
            <w:shd w:fill="0070C0" w:val="clear"/>
            <w:tcMar>
              <w:top w:type="dxa" w:w="70"/>
              <w:left w:type="dxa" w:w="90"/>
              <w:bottom w:type="dxa" w:w="70"/>
              <w:right w:type="dxa" w:w="90"/>
            </w:tcMar>
          </w:tcPr>
          <w:p>
            <w:pPr>
              <w:jc w:val="center"/>
            </w:pPr>
            <w:r>
              <w:rPr>
                <w:rFonts w:ascii="Arial" w:cs="Arial" w:eastAsia="Arial" w:hAnsi="Arial"/>
                <w:b/>
                <w:bCs/>
                <w:color w:val="FFFFFF"/>
                <w:sz w:val="18"/>
                <w:szCs w:val="18"/>
              </w:rPr>
              <w:t xml:space="preserve">Experience</w:t>
            </w:r>
          </w:p>
        </w:tc>
        <w:tc>
          <w:tcPr>
            <w:tcW w:type="dxa" w:w="1360"/>
            <w:tcBorders>
              <w:top w:val="single" w:color="0070C0" w:sz="4"/>
              <w:left w:val="single" w:color="0070C0" w:sz="4"/>
              <w:bottom w:val="single" w:color="0070C0" w:sz="4"/>
              <w:right w:val="single" w:color="0070C0" w:sz="4"/>
            </w:tcBorders>
            <w:shd w:fill="0070C0" w:val="clear"/>
            <w:tcMar>
              <w:top w:type="dxa" w:w="70"/>
              <w:left w:type="dxa" w:w="90"/>
              <w:bottom w:type="dxa" w:w="70"/>
              <w:right w:type="dxa" w:w="90"/>
            </w:tcMar>
          </w:tcPr>
          <w:p>
            <w:pPr>
              <w:jc w:val="center"/>
            </w:pPr>
            <w:r>
              <w:rPr>
                <w:rFonts w:ascii="Arial" w:cs="Arial" w:eastAsia="Arial" w:hAnsi="Arial"/>
                <w:b/>
                <w:bCs/>
                <w:color w:val="FFFFFF"/>
                <w:sz w:val="18"/>
                <w:szCs w:val="18"/>
              </w:rPr>
              <w:t xml:space="preserve">Allocation</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Mr. Usman Khalid</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Project Manager / Bid Manager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PMP, CISM, MBA (IBA)</w:t>
            </w:r>
          </w:p>
        </w:tc>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15 yrs</w:t>
            </w:r>
          </w:p>
        </w:tc>
        <w:tc>
          <w:tcPr>
            <w:tcW w:type="dxa" w:w="13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Engr. Sara Mahmood</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Lead Solutions Architect</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CCIE (RS &amp; SP), VCP-DCV 8</w:t>
            </w:r>
          </w:p>
        </w:tc>
        <w:tc>
          <w:tcPr>
            <w:tcW w:type="dxa" w:w="1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12 yrs</w:t>
            </w:r>
          </w:p>
        </w:tc>
        <w:tc>
          <w:tcPr>
            <w:tcW w:type="dxa" w:w="136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Mr. Bilal Chaudhry</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Cybersecurity Engineer</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CISSP, CEH, CCNP-Security</w:t>
            </w:r>
          </w:p>
        </w:tc>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 yrs</w:t>
            </w:r>
          </w:p>
        </w:tc>
        <w:tc>
          <w:tcPr>
            <w:tcW w:type="dxa" w:w="13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Ms. Hira Nawaz</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ITSM / ServiceNow Lead</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ITIL v4 Master, CIS-ITSM</w:t>
            </w:r>
          </w:p>
        </w:tc>
        <w:tc>
          <w:tcPr>
            <w:tcW w:type="dxa" w:w="1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8 yrs</w:t>
            </w:r>
          </w:p>
        </w:tc>
        <w:tc>
          <w:tcPr>
            <w:tcW w:type="dxa" w:w="136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Mr. Faisal Raza</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Storage &amp; Virtualization</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VCP-DCV, VCP-NV, MCSE</w:t>
            </w:r>
          </w:p>
        </w:tc>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9 yrs</w:t>
            </w:r>
          </w:p>
        </w:tc>
        <w:tc>
          <w:tcPr>
            <w:tcW w:type="dxa" w:w="13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Mr. Adnan Malik</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Senior Network Engineer</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CCNP Enterprise, NSE-7</w:t>
            </w:r>
          </w:p>
        </w:tc>
        <w:tc>
          <w:tcPr>
            <w:tcW w:type="dxa" w:w="1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7 yrs</w:t>
            </w:r>
          </w:p>
        </w:tc>
        <w:tc>
          <w:tcPr>
            <w:tcW w:type="dxa" w:w="136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Ms. Zainab Javed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NOC Lead (O&amp;M)</w:t>
            </w:r>
          </w:p>
        </w:tc>
        <w:tc>
          <w:tcPr>
            <w:tcW w:type="dxa" w:w="2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CCNA, ITIL v4 Foundation</w:t>
            </w:r>
          </w:p>
        </w:tc>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6 yrs</w:t>
            </w:r>
          </w:p>
        </w:tc>
        <w:tc>
          <w:tcPr>
            <w:tcW w:type="dxa" w:w="136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100% (O&amp;M)</w:t>
            </w:r>
          </w:p>
        </w:tc>
      </w:tr>
      <w:tr>
        <w:trPr>
          <w:tblHeader w:val="false"/>
        </w:trPr>
        <w:tc>
          <w:tcPr>
            <w:tcW w:type="dxa" w:w="20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Mr. Kashif Anwar</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Database Administrator</w:t>
            </w:r>
          </w:p>
        </w:tc>
        <w:tc>
          <w:tcPr>
            <w:tcW w:type="dxa" w:w="24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left"/>
            </w:pPr>
            <w:r>
              <w:rPr>
                <w:rFonts w:ascii="Arial" w:cs="Arial" w:eastAsia="Arial" w:hAnsi="Arial"/>
                <w:b w:val="false"/>
                <w:bCs w:val="false"/>
                <w:color w:val="404040"/>
                <w:sz w:val="18"/>
                <w:szCs w:val="18"/>
              </w:rPr>
              <w:t xml:space="preserve">Oracle OCA, MCDBA</w:t>
            </w:r>
          </w:p>
        </w:tc>
        <w:tc>
          <w:tcPr>
            <w:tcW w:type="dxa" w:w="120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8 yrs</w:t>
            </w:r>
          </w:p>
        </w:tc>
        <w:tc>
          <w:tcPr>
            <w:tcW w:type="dxa" w:w="1360"/>
            <w:tcBorders>
              <w:top w:val="single" w:color="CCCCCC" w:sz="4"/>
              <w:left w:val="single" w:color="CCCCCC" w:sz="4"/>
              <w:bottom w:val="single" w:color="CCCCCC" w:sz="4"/>
              <w:right w:val="single" w:color="CCCCCC" w:sz="4"/>
            </w:tcBorders>
            <w:shd w:fill="F2F4F7" w:val="clear"/>
            <w:tcMar>
              <w:top w:type="dxa" w:w="70"/>
              <w:left w:type="dxa" w:w="90"/>
              <w:bottom w:type="dxa" w:w="70"/>
              <w:right w:type="dxa" w:w="90"/>
            </w:tcMar>
          </w:tcPr>
          <w:p>
            <w:pPr>
              <w:jc w:val="center"/>
            </w:pPr>
            <w:r>
              <w:rPr>
                <w:rFonts w:ascii="Arial" w:cs="Arial" w:eastAsia="Arial" w:hAnsi="Arial"/>
                <w:b w:val="false"/>
                <w:bCs w:val="false"/>
                <w:color w:val="404040"/>
                <w:sz w:val="18"/>
                <w:szCs w:val="18"/>
              </w:rPr>
              <w:t xml:space="preserve">50%</w:t>
            </w:r>
          </w:p>
        </w:tc>
      </w:tr>
    </w:tbl>
    <w:p>
      <w:pPr>
        <w:spacing w:after="80" w:before="80"/>
      </w:pPr>
      <w:r>
        <w:t xml:space="preserve"/>
      </w:r>
    </w:p>
    <w:p>
      <w:pPr>
        <w:pStyle w:val="Heading2"/>
        <w:spacing w:after="100" w:before="200"/>
      </w:pPr>
      <w:r>
        <w:rPr>
          <w:rFonts w:ascii="Arial" w:cs="Arial" w:eastAsia="Arial" w:hAnsi="Arial"/>
        </w:rPr>
        <w:t xml:space="preserve">4.1 Staff Certifications Summary</w:t>
      </w:r>
    </w:p>
    <w:p>
      <w:pPr>
        <w:spacing w:after="80" w:before="60"/>
        <w:jc w:val="both"/>
      </w:pPr>
      <w:r>
        <w:rPr>
          <w:rFonts w:ascii="Arial" w:cs="Arial" w:eastAsia="Arial" w:hAnsi="Arial"/>
          <w:b w:val="false"/>
          <w:bCs w:val="false"/>
          <w:i w:val="false"/>
          <w:iCs w:val="false"/>
          <w:color w:val="404040"/>
          <w:sz w:val="20"/>
          <w:szCs w:val="20"/>
        </w:rPr>
        <w:t xml:space="preserve">Total full-time technical staff: 80 engineers. Certifications held by the proposed team include:</w:t>
      </w:r>
    </w:p>
    <w:p>
      <w:pPr>
        <w:pStyle w:val="ListParagraph"/>
        <w:numPr>
          <w:ilvl w:val="0"/>
          <w:numId w:val="2"/>
        </w:numPr>
        <w:spacing w:after="40" w:before="40"/>
      </w:pPr>
      <w:r>
        <w:rPr>
          <w:rFonts w:ascii="Arial" w:cs="Arial" w:eastAsia="Arial" w:hAnsi="Arial"/>
          <w:color w:val="404040"/>
          <w:sz w:val="20"/>
          <w:szCs w:val="20"/>
        </w:rPr>
        <w:t xml:space="preserve">Cisco Certified Internetwork Expert (CCIE) – 2 engineers (Routing &amp; Switching, Service Provider)</w:t>
      </w:r>
    </w:p>
    <w:p>
      <w:pPr>
        <w:pStyle w:val="ListParagraph"/>
        <w:numPr>
          <w:ilvl w:val="0"/>
          <w:numId w:val="2"/>
        </w:numPr>
        <w:spacing w:after="40" w:before="40"/>
      </w:pPr>
      <w:r>
        <w:rPr>
          <w:rFonts w:ascii="Arial" w:cs="Arial" w:eastAsia="Arial" w:hAnsi="Arial"/>
          <w:color w:val="404040"/>
          <w:sz w:val="20"/>
          <w:szCs w:val="20"/>
        </w:rPr>
        <w:t xml:space="preserve">Cisco Certified Network Professional (CCNP) – 5 engineers (Enterprise, Security, Data Center)</w:t>
      </w:r>
    </w:p>
    <w:p>
      <w:pPr>
        <w:pStyle w:val="ListParagraph"/>
        <w:numPr>
          <w:ilvl w:val="0"/>
          <w:numId w:val="2"/>
        </w:numPr>
        <w:spacing w:after="40" w:before="40"/>
      </w:pPr>
      <w:r>
        <w:rPr>
          <w:rFonts w:ascii="Arial" w:cs="Arial" w:eastAsia="Arial" w:hAnsi="Arial"/>
          <w:color w:val="404040"/>
          <w:sz w:val="20"/>
          <w:szCs w:val="20"/>
        </w:rPr>
        <w:t xml:space="preserve">VMware Certified Professional (VCP-DCV 8, VCP-NV) – 5 engineers</w:t>
      </w:r>
    </w:p>
    <w:p>
      <w:pPr>
        <w:pStyle w:val="ListParagraph"/>
        <w:numPr>
          <w:ilvl w:val="0"/>
          <w:numId w:val="2"/>
        </w:numPr>
        <w:spacing w:after="40" w:before="40"/>
      </w:pPr>
      <w:r>
        <w:rPr>
          <w:rFonts w:ascii="Arial" w:cs="Arial" w:eastAsia="Arial" w:hAnsi="Arial"/>
          <w:color w:val="404040"/>
          <w:sz w:val="20"/>
          <w:szCs w:val="20"/>
        </w:rPr>
        <w:t xml:space="preserve">Certified Information Systems Security Professional (CISSP) – 3 engineers</w:t>
      </w:r>
    </w:p>
    <w:p>
      <w:pPr>
        <w:pStyle w:val="ListParagraph"/>
        <w:numPr>
          <w:ilvl w:val="0"/>
          <w:numId w:val="2"/>
        </w:numPr>
        <w:spacing w:after="40" w:before="40"/>
      </w:pPr>
      <w:r>
        <w:rPr>
          <w:rFonts w:ascii="Arial" w:cs="Arial" w:eastAsia="Arial" w:hAnsi="Arial"/>
          <w:color w:val="404040"/>
          <w:sz w:val="20"/>
          <w:szCs w:val="20"/>
        </w:rPr>
        <w:t xml:space="preserve">ITIL v4 Master / Managing Professional – 4 engineers</w:t>
      </w:r>
    </w:p>
    <w:p>
      <w:pPr>
        <w:pStyle w:val="ListParagraph"/>
        <w:numPr>
          <w:ilvl w:val="0"/>
          <w:numId w:val="2"/>
        </w:numPr>
        <w:spacing w:after="40" w:before="40"/>
      </w:pPr>
      <w:r>
        <w:rPr>
          <w:rFonts w:ascii="Arial" w:cs="Arial" w:eastAsia="Arial" w:hAnsi="Arial"/>
          <w:color w:val="404040"/>
          <w:sz w:val="20"/>
          <w:szCs w:val="20"/>
        </w:rPr>
        <w:t xml:space="preserve">Project Management Professional (PMP) – 3 engineers</w:t>
      </w:r>
    </w:p>
    <w:p>
      <w:pPr>
        <w:pStyle w:val="ListParagraph"/>
        <w:numPr>
          <w:ilvl w:val="0"/>
          <w:numId w:val="2"/>
        </w:numPr>
        <w:spacing w:after="40" w:before="40"/>
      </w:pPr>
      <w:r>
        <w:rPr>
          <w:rFonts w:ascii="Arial" w:cs="Arial" w:eastAsia="Arial" w:hAnsi="Arial"/>
          <w:color w:val="404040"/>
          <w:sz w:val="20"/>
          <w:szCs w:val="20"/>
        </w:rPr>
        <w:t xml:space="preserve">Certified Information Security Manager (CISM) – 2 engineers</w:t>
      </w:r>
    </w:p>
    <w:p>
      <w:pPr>
        <w:pStyle w:val="ListParagraph"/>
        <w:numPr>
          <w:ilvl w:val="0"/>
          <w:numId w:val="2"/>
        </w:numPr>
        <w:spacing w:after="40" w:before="40"/>
      </w:pPr>
      <w:r>
        <w:rPr>
          <w:rFonts w:ascii="Arial" w:cs="Arial" w:eastAsia="Arial" w:hAnsi="Arial"/>
          <w:color w:val="404040"/>
          <w:sz w:val="20"/>
          <w:szCs w:val="20"/>
        </w:rPr>
        <w:t xml:space="preserve">ServiceNow Certified Implementation Specialist (CIS-ITSM) – 2 engineers</w:t>
      </w:r>
    </w:p>
    <w:p>
      <w:r>
        <w:br w:type="page"/>
      </w:r>
    </w:p>
    <w:p>
      <w:pPr>
        <w:pStyle w:val="Heading1"/>
        <w:spacing w:after="100" w:before="200"/>
      </w:pPr>
      <w:r>
        <w:rPr>
          <w:rFonts w:ascii="Arial" w:cs="Arial" w:eastAsia="Arial" w:hAnsi="Arial"/>
        </w:rPr>
        <w:t xml:space="preserve">5. SLA Definitions &amp; Incident Response Matrix</w:t>
      </w:r>
    </w:p>
    <w:p>
      <w:pPr>
        <w:spacing w:after="80" w:before="60"/>
        <w:jc w:val="both"/>
      </w:pPr>
      <w:r>
        <w:rPr>
          <w:rFonts w:ascii="Arial" w:cs="Arial" w:eastAsia="Arial" w:hAnsi="Arial"/>
          <w:b w:val="false"/>
          <w:bCs w:val="false"/>
          <w:i w:val="false"/>
          <w:iCs w:val="false"/>
          <w:color w:val="404040"/>
          <w:sz w:val="20"/>
          <w:szCs w:val="20"/>
        </w:rPr>
        <w:t xml:space="preserve">TechVista commits to the following Service Level Agreements (SLAs) for the O&amp;M phase. SLA compliance will be tracked monthly in the ITSM platform and reported to PRA and PITB in quarterly SLA review meetings.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1560"/>
        <w:gridCol w:w="1400"/>
        <w:gridCol w:w="1200"/>
      </w:tblGrid>
      <w:tr>
        <w:trPr>
          <w:tblHeader/>
        </w:trPr>
        <w:tc>
          <w:tcPr>
            <w:tcW w:type="dxa" w:w="80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Priority</w:t>
            </w:r>
          </w:p>
        </w:tc>
        <w:tc>
          <w:tcPr>
            <w:tcW w:type="dxa" w:w="240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Incident Type</w:t>
            </w:r>
          </w:p>
        </w:tc>
        <w:tc>
          <w:tcPr>
            <w:tcW w:type="dxa" w:w="200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Response Time</w:t>
            </w:r>
          </w:p>
        </w:tc>
        <w:tc>
          <w:tcPr>
            <w:tcW w:type="dxa" w:w="156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Resolution Time</w:t>
            </w:r>
          </w:p>
        </w:tc>
        <w:tc>
          <w:tcPr>
            <w:tcW w:type="dxa" w:w="140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Escalation</w:t>
            </w:r>
          </w:p>
        </w:tc>
        <w:tc>
          <w:tcPr>
            <w:tcW w:type="dxa" w:w="1200"/>
            <w:tcBorders>
              <w:top w:val="single" w:color="AAAAAA" w:sz="4"/>
              <w:left w:val="single" w:color="AAAAAA" w:sz="4"/>
              <w:bottom w:val="single" w:color="AAAAAA" w:sz="4"/>
              <w:right w:val="single" w:color="AAAAAA"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Penalty</w:t>
            </w:r>
          </w:p>
        </w:tc>
      </w:tr>
      <w:tr>
        <w:trPr>
          <w:tblHeader w:val="false"/>
        </w:trPr>
        <w:tc>
          <w:tcPr>
            <w:tcW w:type="dxa" w:w="800"/>
            <w:tcBorders>
              <w:top w:val="single" w:color="AAAAAA" w:sz="4"/>
              <w:left w:val="single" w:color="AAAAAA" w:sz="4"/>
              <w:bottom w:val="single" w:color="AAAAAA" w:sz="4"/>
              <w:right w:val="single" w:color="AAAAAA" w:sz="4"/>
            </w:tcBorders>
            <w:shd w:fill="FF0000"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P1
Critical</w:t>
            </w:r>
          </w:p>
        </w:tc>
        <w:tc>
          <w:tcPr>
            <w:tcW w:type="dxa" w:w="2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Complete service outage; data breach; core network failure</w:t>
            </w:r>
          </w:p>
        </w:tc>
        <w:tc>
          <w:tcPr>
            <w:tcW w:type="dxa" w:w="20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15 min</w:t>
            </w:r>
          </w:p>
        </w:tc>
        <w:tc>
          <w:tcPr>
            <w:tcW w:type="dxa" w:w="156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4 hours</w:t>
            </w:r>
          </w:p>
        </w:tc>
        <w:tc>
          <w:tcPr>
            <w:tcW w:type="dxa" w:w="1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CTO notified at 30 min</w:t>
            </w:r>
          </w:p>
        </w:tc>
        <w:tc>
          <w:tcPr>
            <w:tcW w:type="dxa" w:w="12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0.5%/week LD</w:t>
            </w:r>
          </w:p>
        </w:tc>
      </w:tr>
      <w:tr>
        <w:trPr>
          <w:tblHeader w:val="false"/>
        </w:trPr>
        <w:tc>
          <w:tcPr>
            <w:tcW w:type="dxa" w:w="800"/>
            <w:tcBorders>
              <w:top w:val="single" w:color="AAAAAA" w:sz="4"/>
              <w:left w:val="single" w:color="AAAAAA" w:sz="4"/>
              <w:bottom w:val="single" w:color="AAAAAA" w:sz="4"/>
              <w:right w:val="single" w:color="AAAAAA" w:sz="4"/>
            </w:tcBorders>
            <w:shd w:fill="C55A11"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P2
High</w:t>
            </w:r>
          </w:p>
        </w:tc>
        <w:tc>
          <w:tcPr>
            <w:tcW w:type="dxa" w:w="24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Major functionality degraded; &gt;50% users impacted</w:t>
            </w:r>
          </w:p>
        </w:tc>
        <w:tc>
          <w:tcPr>
            <w:tcW w:type="dxa" w:w="20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30 min</w:t>
            </w:r>
          </w:p>
        </w:tc>
        <w:tc>
          <w:tcPr>
            <w:tcW w:type="dxa" w:w="156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8 hours</w:t>
            </w:r>
          </w:p>
        </w:tc>
        <w:tc>
          <w:tcPr>
            <w:tcW w:type="dxa" w:w="14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PM notified at 2 hrs</w:t>
            </w:r>
          </w:p>
        </w:tc>
        <w:tc>
          <w:tcPr>
            <w:tcW w:type="dxa" w:w="12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0.25%/week LD</w:t>
            </w:r>
          </w:p>
        </w:tc>
      </w:tr>
      <w:tr>
        <w:trPr>
          <w:tblHeader w:val="false"/>
        </w:trPr>
        <w:tc>
          <w:tcPr>
            <w:tcW w:type="dxa" w:w="800"/>
            <w:tcBorders>
              <w:top w:val="single" w:color="AAAAAA" w:sz="4"/>
              <w:left w:val="single" w:color="AAAAAA" w:sz="4"/>
              <w:bottom w:val="single" w:color="AAAAAA" w:sz="4"/>
              <w:right w:val="single" w:color="AAAAAA" w:sz="4"/>
            </w:tcBorders>
            <w:shd w:fill="FFC000"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P3
Medium</w:t>
            </w:r>
          </w:p>
        </w:tc>
        <w:tc>
          <w:tcPr>
            <w:tcW w:type="dxa" w:w="2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Partial service degradation; &lt;50% users affected</w:t>
            </w:r>
          </w:p>
        </w:tc>
        <w:tc>
          <w:tcPr>
            <w:tcW w:type="dxa" w:w="20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1 hour</w:t>
            </w:r>
          </w:p>
        </w:tc>
        <w:tc>
          <w:tcPr>
            <w:tcW w:type="dxa" w:w="156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24 hours</w:t>
            </w:r>
          </w:p>
        </w:tc>
        <w:tc>
          <w:tcPr>
            <w:tcW w:type="dxa" w:w="1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Team Lead notified</w:t>
            </w:r>
          </w:p>
        </w:tc>
        <w:tc>
          <w:tcPr>
            <w:tcW w:type="dxa" w:w="12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Review in SLA report</w:t>
            </w:r>
          </w:p>
        </w:tc>
      </w:tr>
      <w:tr>
        <w:trPr>
          <w:tblHeader w:val="false"/>
        </w:trPr>
        <w:tc>
          <w:tcPr>
            <w:tcW w:type="dxa" w:w="800"/>
            <w:tcBorders>
              <w:top w:val="single" w:color="AAAAAA" w:sz="4"/>
              <w:left w:val="single" w:color="AAAAAA" w:sz="4"/>
              <w:bottom w:val="single" w:color="AAAAAA" w:sz="4"/>
              <w:right w:val="single" w:color="AAAAAA" w:sz="4"/>
            </w:tcBorders>
            <w:shd w:fill="70AD47"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P4
Low</w:t>
            </w:r>
          </w:p>
        </w:tc>
        <w:tc>
          <w:tcPr>
            <w:tcW w:type="dxa" w:w="24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Minor issues; cosmetic bugs; information requests</w:t>
            </w:r>
          </w:p>
        </w:tc>
        <w:tc>
          <w:tcPr>
            <w:tcW w:type="dxa" w:w="20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4 hours</w:t>
            </w:r>
          </w:p>
        </w:tc>
        <w:tc>
          <w:tcPr>
            <w:tcW w:type="dxa" w:w="156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72 hours</w:t>
            </w:r>
          </w:p>
        </w:tc>
        <w:tc>
          <w:tcPr>
            <w:tcW w:type="dxa" w:w="14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Standard queue</w:t>
            </w:r>
          </w:p>
        </w:tc>
        <w:tc>
          <w:tcPr>
            <w:tcW w:type="dxa" w:w="1200"/>
            <w:tcBorders>
              <w:top w:val="single" w:color="AAAAAA" w:sz="4"/>
              <w:left w:val="single" w:color="AAAAAA" w:sz="4"/>
              <w:bottom w:val="single" w:color="AAAAAA" w:sz="4"/>
              <w:right w:val="single" w:color="AAAAAA"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Tracked in CMDB</w:t>
            </w:r>
          </w:p>
        </w:tc>
      </w:tr>
      <w:tr>
        <w:trPr>
          <w:tblHeader w:val="false"/>
        </w:trPr>
        <w:tc>
          <w:tcPr>
            <w:tcW w:type="dxa" w:w="800"/>
            <w:tcBorders>
              <w:top w:val="single" w:color="AAAAAA" w:sz="4"/>
              <w:left w:val="single" w:color="AAAAAA" w:sz="4"/>
              <w:bottom w:val="single" w:color="AAAAAA" w:sz="4"/>
              <w:right w:val="single" w:color="AAAAAA" w:sz="4"/>
            </w:tcBorders>
            <w:shd w:fill="4472C4"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P5
Scheduled</w:t>
            </w:r>
          </w:p>
        </w:tc>
        <w:tc>
          <w:tcPr>
            <w:tcW w:type="dxa" w:w="2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Planned maintenance, firmware patches, upgrades</w:t>
            </w:r>
          </w:p>
        </w:tc>
        <w:tc>
          <w:tcPr>
            <w:tcW w:type="dxa" w:w="20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Scheduled</w:t>
            </w:r>
          </w:p>
        </w:tc>
        <w:tc>
          <w:tcPr>
            <w:tcW w:type="dxa" w:w="156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Per change plan</w:t>
            </w:r>
          </w:p>
        </w:tc>
        <w:tc>
          <w:tcPr>
            <w:tcW w:type="dxa" w:w="14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CAB approval required</w:t>
            </w:r>
          </w:p>
        </w:tc>
        <w:tc>
          <w:tcPr>
            <w:tcW w:type="dxa" w:w="1200"/>
            <w:tcBorders>
              <w:top w:val="single" w:color="AAAAAA" w:sz="4"/>
              <w:left w:val="single" w:color="AAAAAA" w:sz="4"/>
              <w:bottom w:val="single" w:color="AAAAAA" w:sz="4"/>
              <w:right w:val="single" w:color="AAAAAA"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None</w:t>
            </w:r>
          </w:p>
        </w:tc>
      </w:tr>
    </w:tbl>
    <w:p>
      <w:pPr>
        <w:spacing w:after="80" w:before="80"/>
      </w:pPr>
      <w:r>
        <w:t xml:space="preserve"/>
      </w:r>
    </w:p>
    <w:p>
      <w:pPr>
        <w:spacing w:after="80" w:before="60"/>
        <w:jc w:val="both"/>
      </w:pPr>
      <w:r>
        <w:rPr>
          <w:rFonts w:ascii="Arial" w:cs="Arial" w:eastAsia="Arial" w:hAnsi="Arial"/>
          <w:b w:val="false"/>
          <w:bCs w:val="false"/>
          <w:i/>
          <w:iCs/>
          <w:color w:val="777777"/>
          <w:sz w:val="17"/>
          <w:szCs w:val="17"/>
        </w:rPr>
        <w:t xml:space="preserve">SLA penalties (Liquidated Damages) will be calculated on the quarterly O&amp;M invoice value, subject to a maximum cap of 10% of the annual O&amp;M contract value per year. SLA measurement will commence 30 days after Go-Live.</w:t>
      </w:r>
    </w:p>
    <w:p>
      <w:r>
        <w:br w:type="page"/>
      </w:r>
    </w:p>
    <w:p>
      <w:pPr>
        <w:pStyle w:val="Heading1"/>
        <w:spacing w:after="100" w:before="200"/>
      </w:pPr>
      <w:r>
        <w:rPr>
          <w:rFonts w:ascii="Arial" w:cs="Arial" w:eastAsia="Arial" w:hAnsi="Arial"/>
        </w:rPr>
        <w:t xml:space="preserve">6. Implementation Milestones &amp; Payment Schedule</w:t>
      </w:r>
    </w:p>
    <w:p>
      <w:pPr>
        <w:spacing w:after="80" w:before="60"/>
        <w:jc w:val="both"/>
      </w:pPr>
      <w:r>
        <w:rPr>
          <w:rFonts w:ascii="Arial" w:cs="Arial" w:eastAsia="Arial" w:hAnsi="Arial"/>
          <w:b w:val="false"/>
          <w:bCs w:val="false"/>
          <w:i w:val="false"/>
          <w:iCs w:val="false"/>
          <w:color w:val="404040"/>
          <w:sz w:val="20"/>
          <w:szCs w:val="20"/>
        </w:rPr>
        <w:t xml:space="preserve">The following payment milestones are proposed in alignment with the RFP's payment clause. Each milestone payment is conditional on formal written acceptance by PITB/PRA of the specified deliverables.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1760"/>
        <w:gridCol w:w="1600"/>
      </w:tblGrid>
      <w:tr>
        <w:tc>
          <w:tcPr>
            <w:tcW w:type="dxa" w:w="60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w:t>
            </w:r>
          </w:p>
        </w:tc>
        <w:tc>
          <w:tcPr>
            <w:tcW w:type="dxa" w:w="260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Milestone</w:t>
            </w:r>
          </w:p>
        </w:tc>
        <w:tc>
          <w:tcPr>
            <w:tcW w:type="dxa" w:w="140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Target Date</w:t>
            </w:r>
          </w:p>
        </w:tc>
        <w:tc>
          <w:tcPr>
            <w:tcW w:type="dxa" w:w="140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Duration</w:t>
            </w:r>
          </w:p>
        </w:tc>
        <w:tc>
          <w:tcPr>
            <w:tcW w:type="dxa" w:w="176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left"/>
            </w:pPr>
            <w:r>
              <w:rPr>
                <w:rFonts w:ascii="Arial" w:cs="Arial" w:eastAsia="Arial" w:hAnsi="Arial"/>
                <w:b/>
                <w:bCs/>
                <w:color w:val="FFFFFF"/>
                <w:sz w:val="18"/>
                <w:szCs w:val="18"/>
              </w:rPr>
              <w:t xml:space="preserve">Payment Trigger</w:t>
            </w:r>
          </w:p>
        </w:tc>
        <w:tc>
          <w:tcPr>
            <w:tcW w:type="dxa" w:w="1600"/>
            <w:tcBorders>
              <w:top w:val="single" w:color="BBBBBB" w:sz="4"/>
              <w:left w:val="single" w:color="BBBBBB" w:sz="4"/>
              <w:bottom w:val="single" w:color="BBBBBB" w:sz="4"/>
              <w:right w:val="single" w:color="BBBBBB" w:sz="4"/>
            </w:tcBorders>
            <w:shd w:fill="1A3A5C" w:val="clear"/>
            <w:tcMar>
              <w:top w:type="dxa" w:w="70"/>
              <w:left w:type="dxa" w:w="90"/>
              <w:bottom w:type="dxa" w:w="70"/>
              <w:right w:type="dxa" w:w="90"/>
            </w:tcMar>
            <w:vAlign w:val="center"/>
          </w:tcPr>
          <w:p>
            <w:pPr>
              <w:jc w:val="center"/>
            </w:pPr>
            <w:r>
              <w:rPr>
                <w:rFonts w:ascii="Arial" w:cs="Arial" w:eastAsia="Arial" w:hAnsi="Arial"/>
                <w:b/>
                <w:bCs/>
                <w:color w:val="FFFFFF"/>
                <w:sz w:val="18"/>
                <w:szCs w:val="18"/>
              </w:rPr>
              <w:t xml:space="preserve">Amount (PKR)</w:t>
            </w:r>
          </w:p>
        </w:tc>
      </w:tr>
      <w:tr>
        <w:tc>
          <w:tcPr>
            <w:tcW w:type="dxa" w:w="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M0</w:t>
            </w:r>
          </w:p>
        </w:tc>
        <w:tc>
          <w:tcPr>
            <w:tcW w:type="dxa" w:w="2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Contract Signing + Mobilization Advance</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Sep 2025</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Week 1</w:t>
            </w:r>
          </w:p>
        </w:tc>
        <w:tc>
          <w:tcPr>
            <w:tcW w:type="dxa" w:w="176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Upon contract execution</w:t>
            </w:r>
          </w:p>
        </w:tc>
        <w:tc>
          <w:tcPr>
            <w:tcW w:type="dxa" w:w="1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61,250,000</w:t>
            </w:r>
          </w:p>
        </w:tc>
      </w:tr>
      <w:tr>
        <w:tc>
          <w:tcPr>
            <w:tcW w:type="dxa" w:w="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M1</w:t>
            </w:r>
          </w:p>
        </w:tc>
        <w:tc>
          <w:tcPr>
            <w:tcW w:type="dxa" w:w="2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Site Readiness &amp; Detailed Design Approved</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Sep 2025</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 1</w:t>
            </w:r>
          </w:p>
        </w:tc>
        <w:tc>
          <w:tcPr>
            <w:tcW w:type="dxa" w:w="176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Signed design approval</w:t>
            </w:r>
          </w:p>
        </w:tc>
        <w:tc>
          <w:tcPr>
            <w:tcW w:type="dxa" w:w="1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Included in M0</w:t>
            </w:r>
          </w:p>
        </w:tc>
      </w:tr>
      <w:tr>
        <w:tc>
          <w:tcPr>
            <w:tcW w:type="dxa" w:w="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M2</w:t>
            </w:r>
          </w:p>
        </w:tc>
        <w:tc>
          <w:tcPr>
            <w:tcW w:type="dxa" w:w="2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Hardware Delivery &amp; Rack Installation Complete</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Dec 2025</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Months 2–4</w:t>
            </w:r>
          </w:p>
        </w:tc>
        <w:tc>
          <w:tcPr>
            <w:tcW w:type="dxa" w:w="176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Factory Acceptance Test</w:t>
            </w:r>
          </w:p>
        </w:tc>
        <w:tc>
          <w:tcPr>
            <w:tcW w:type="dxa" w:w="1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183,750,000</w:t>
            </w:r>
          </w:p>
        </w:tc>
      </w:tr>
      <w:tr>
        <w:tc>
          <w:tcPr>
            <w:tcW w:type="dxa" w:w="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M3</w:t>
            </w:r>
          </w:p>
        </w:tc>
        <w:tc>
          <w:tcPr>
            <w:tcW w:type="dxa" w:w="2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Network Infrastructure Commissioned</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Jan 2026</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 4</w:t>
            </w:r>
          </w:p>
        </w:tc>
        <w:tc>
          <w:tcPr>
            <w:tcW w:type="dxa" w:w="176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Network acceptance sign-off</w:t>
            </w:r>
          </w:p>
        </w:tc>
        <w:tc>
          <w:tcPr>
            <w:tcW w:type="dxa" w:w="1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Included in M2</w:t>
            </w:r>
          </w:p>
        </w:tc>
      </w:tr>
      <w:tr>
        <w:tc>
          <w:tcPr>
            <w:tcW w:type="dxa" w:w="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M4</w:t>
            </w:r>
          </w:p>
        </w:tc>
        <w:tc>
          <w:tcPr>
            <w:tcW w:type="dxa" w:w="2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Software Deployment &amp; Integration Complete</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Mar 2026</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Months 4–6</w:t>
            </w:r>
          </w:p>
        </w:tc>
        <w:tc>
          <w:tcPr>
            <w:tcW w:type="dxa" w:w="176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Integration test report</w:t>
            </w:r>
          </w:p>
        </w:tc>
        <w:tc>
          <w:tcPr>
            <w:tcW w:type="dxa" w:w="1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183,750,000</w:t>
            </w:r>
          </w:p>
        </w:tc>
      </w:tr>
      <w:tr>
        <w:tc>
          <w:tcPr>
            <w:tcW w:type="dxa" w:w="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M5</w:t>
            </w:r>
          </w:p>
        </w:tc>
        <w:tc>
          <w:tcPr>
            <w:tcW w:type="dxa" w:w="2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UAT Sign-off + DR Drill Completed</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May 2026</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Months 6–8</w:t>
            </w:r>
          </w:p>
        </w:tc>
        <w:tc>
          <w:tcPr>
            <w:tcW w:type="dxa" w:w="176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UAT certificate from PRA</w:t>
            </w:r>
          </w:p>
        </w:tc>
        <w:tc>
          <w:tcPr>
            <w:tcW w:type="dxa" w:w="1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122,500,000</w:t>
            </w:r>
          </w:p>
        </w:tc>
      </w:tr>
      <w:tr>
        <w:tc>
          <w:tcPr>
            <w:tcW w:type="dxa" w:w="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M6</w:t>
            </w:r>
          </w:p>
        </w:tc>
        <w:tc>
          <w:tcPr>
            <w:tcW w:type="dxa" w:w="2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Go-Live + Training Completion + Handover</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Jun 2026</w:t>
            </w:r>
          </w:p>
        </w:tc>
        <w:tc>
          <w:tcPr>
            <w:tcW w:type="dxa" w:w="14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Month 9</w:t>
            </w:r>
          </w:p>
        </w:tc>
        <w:tc>
          <w:tcPr>
            <w:tcW w:type="dxa" w:w="176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Go-Live certificate</w:t>
            </w:r>
          </w:p>
        </w:tc>
        <w:tc>
          <w:tcPr>
            <w:tcW w:type="dxa" w:w="1600"/>
            <w:tcBorders>
              <w:top w:val="single" w:color="BBBBBB" w:sz="4"/>
              <w:left w:val="single" w:color="BBBBBB" w:sz="4"/>
              <w:bottom w:val="single" w:color="BBBBBB" w:sz="4"/>
              <w:right w:val="single" w:color="BBBBBB" w:sz="4"/>
            </w:tcBorders>
            <w:shd w:fill="FFFFFF"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61,250,000</w:t>
            </w:r>
          </w:p>
        </w:tc>
      </w:tr>
      <w:tr>
        <w:tc>
          <w:tcPr>
            <w:tcW w:type="dxa" w:w="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M7–M11</w:t>
            </w:r>
          </w:p>
        </w:tc>
        <w:tc>
          <w:tcPr>
            <w:tcW w:type="dxa" w:w="2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Annual O&amp;M (Years 1–5)</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Jul 2026+</w:t>
            </w:r>
          </w:p>
        </w:tc>
        <w:tc>
          <w:tcPr>
            <w:tcW w:type="dxa" w:w="14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5 years</w:t>
            </w:r>
          </w:p>
        </w:tc>
        <w:tc>
          <w:tcPr>
            <w:tcW w:type="dxa" w:w="176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left"/>
            </w:pPr>
            <w:r>
              <w:rPr>
                <w:rFonts w:ascii="Arial" w:cs="Arial" w:eastAsia="Arial" w:hAnsi="Arial"/>
                <w:b w:val="false"/>
                <w:bCs w:val="false"/>
                <w:color w:val="404040"/>
                <w:sz w:val="18"/>
                <w:szCs w:val="18"/>
              </w:rPr>
              <w:t xml:space="preserve">Quarterly invoices</w:t>
            </w:r>
          </w:p>
        </w:tc>
        <w:tc>
          <w:tcPr>
            <w:tcW w:type="dxa" w:w="1600"/>
            <w:tcBorders>
              <w:top w:val="single" w:color="BBBBBB" w:sz="4"/>
              <w:left w:val="single" w:color="BBBBBB" w:sz="4"/>
              <w:bottom w:val="single" w:color="BBBBBB" w:sz="4"/>
              <w:right w:val="single" w:color="BBBBBB" w:sz="4"/>
            </w:tcBorders>
            <w:shd w:fill="F2F4F7" w:val="clear"/>
            <w:tcMar>
              <w:top w:type="dxa" w:w="70"/>
              <w:left w:type="dxa" w:w="90"/>
              <w:bottom w:type="dxa" w:w="70"/>
              <w:right w:type="dxa" w:w="90"/>
            </w:tcMar>
            <w:vAlign w:val="center"/>
          </w:tcPr>
          <w:p>
            <w:pPr>
              <w:jc w:val="center"/>
            </w:pPr>
            <w:r>
              <w:rPr>
                <w:rFonts w:ascii="Arial" w:cs="Arial" w:eastAsia="Arial" w:hAnsi="Arial"/>
                <w:b w:val="false"/>
                <w:bCs w:val="false"/>
                <w:color w:val="404040"/>
                <w:sz w:val="18"/>
                <w:szCs w:val="18"/>
              </w:rPr>
              <w:t xml:space="preserve">140,000,000</w:t>
            </w:r>
          </w:p>
        </w:tc>
      </w:tr>
      <w:tr>
        <w:tc>
          <w:tcPr>
            <w:tcW w:type="dxa" w:w="60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center"/>
            </w:pPr>
            <w:r>
              <w:rPr>
                <w:rFonts w:ascii="Arial" w:cs="Arial" w:eastAsia="Arial" w:hAnsi="Arial"/>
                <w:b/>
                <w:bCs/>
                <w:color w:val="404040"/>
                <w:sz w:val="18"/>
                <w:szCs w:val="18"/>
              </w:rPr>
              <w:t xml:space="preserve"/>
            </w:r>
          </w:p>
        </w:tc>
        <w:tc>
          <w:tcPr>
            <w:tcW w:type="dxa" w:w="260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left"/>
            </w:pPr>
            <w:r>
              <w:rPr>
                <w:rFonts w:ascii="Arial" w:cs="Arial" w:eastAsia="Arial" w:hAnsi="Arial"/>
                <w:b/>
                <w:bCs/>
                <w:color w:val="404040"/>
                <w:sz w:val="18"/>
                <w:szCs w:val="18"/>
              </w:rPr>
              <w:t xml:space="preserve">TOTAL</w:t>
            </w:r>
          </w:p>
        </w:tc>
        <w:tc>
          <w:tcPr>
            <w:tcW w:type="dxa" w:w="140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left"/>
            </w:pPr>
            <w:r>
              <w:rPr>
                <w:rFonts w:ascii="Arial" w:cs="Arial" w:eastAsia="Arial" w:hAnsi="Arial"/>
                <w:b/>
                <w:bCs/>
                <w:color w:val="404040"/>
                <w:sz w:val="18"/>
                <w:szCs w:val="18"/>
              </w:rPr>
              <w:t xml:space="preserve"/>
            </w:r>
          </w:p>
        </w:tc>
        <w:tc>
          <w:tcPr>
            <w:tcW w:type="dxa" w:w="140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left"/>
            </w:pPr>
            <w:r>
              <w:rPr>
                <w:rFonts w:ascii="Arial" w:cs="Arial" w:eastAsia="Arial" w:hAnsi="Arial"/>
                <w:b/>
                <w:bCs/>
                <w:color w:val="404040"/>
                <w:sz w:val="18"/>
                <w:szCs w:val="18"/>
              </w:rPr>
              <w:t xml:space="preserve"/>
            </w:r>
          </w:p>
        </w:tc>
        <w:tc>
          <w:tcPr>
            <w:tcW w:type="dxa" w:w="176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left"/>
            </w:pPr>
            <w:r>
              <w:rPr>
                <w:rFonts w:ascii="Arial" w:cs="Arial" w:eastAsia="Arial" w:hAnsi="Arial"/>
                <w:b/>
                <w:bCs/>
                <w:color w:val="404040"/>
                <w:sz w:val="18"/>
                <w:szCs w:val="18"/>
              </w:rPr>
              <w:t xml:space="preserve"/>
            </w:r>
          </w:p>
        </w:tc>
        <w:tc>
          <w:tcPr>
            <w:tcW w:type="dxa" w:w="1600"/>
            <w:tcBorders>
              <w:top w:val="single" w:color="BBBBBB" w:sz="4"/>
              <w:left w:val="single" w:color="BBBBBB" w:sz="4"/>
              <w:bottom w:val="single" w:color="BBBBBB" w:sz="4"/>
              <w:right w:val="single" w:color="BBBBBB" w:sz="4"/>
            </w:tcBorders>
            <w:shd w:fill="D6E4F7" w:val="clear"/>
            <w:tcMar>
              <w:top w:type="dxa" w:w="70"/>
              <w:left w:type="dxa" w:w="90"/>
              <w:bottom w:type="dxa" w:w="70"/>
              <w:right w:type="dxa" w:w="90"/>
            </w:tcMar>
            <w:vAlign w:val="center"/>
          </w:tcPr>
          <w:p>
            <w:pPr>
              <w:jc w:val="center"/>
            </w:pPr>
            <w:r>
              <w:rPr>
                <w:rFonts w:ascii="Arial" w:cs="Arial" w:eastAsia="Arial" w:hAnsi="Arial"/>
                <w:b/>
                <w:bCs/>
                <w:color w:val="404040"/>
                <w:sz w:val="18"/>
                <w:szCs w:val="18"/>
              </w:rPr>
              <w:t xml:space="preserve">612,500,000</w:t>
            </w:r>
          </w:p>
        </w:tc>
      </w:tr>
    </w:tbl>
    <w:p>
      <w:pPr>
        <w:spacing w:after="80" w:before="80"/>
      </w:pPr>
      <w:r>
        <w:t xml:space="preserve"/>
      </w:r>
    </w:p>
    <w:p>
      <w:pPr>
        <w:pStyle w:val="Heading2"/>
        <w:spacing w:after="100" w:before="200"/>
      </w:pPr>
      <w:r>
        <w:rPr>
          <w:rFonts w:ascii="Arial" w:cs="Arial" w:eastAsia="Arial" w:hAnsi="Arial"/>
        </w:rPr>
        <w:t xml:space="preserve">6.1 Key Assumptions</w:t>
      </w:r>
    </w:p>
    <w:p>
      <w:pPr>
        <w:pStyle w:val="ListParagraph"/>
        <w:numPr>
          <w:ilvl w:val="0"/>
          <w:numId w:val="2"/>
        </w:numPr>
        <w:spacing w:after="40" w:before="40"/>
      </w:pPr>
      <w:r>
        <w:rPr>
          <w:rFonts w:ascii="Arial" w:cs="Arial" w:eastAsia="Arial" w:hAnsi="Arial"/>
          <w:color w:val="404040"/>
          <w:sz w:val="20"/>
          <w:szCs w:val="20"/>
        </w:rPr>
        <w:t xml:space="preserve">PRA will provide access to all three office floors and the server room within 2 weeks of contract signing.</w:t>
      </w:r>
    </w:p>
    <w:p>
      <w:pPr>
        <w:pStyle w:val="ListParagraph"/>
        <w:numPr>
          <w:ilvl w:val="0"/>
          <w:numId w:val="2"/>
        </w:numPr>
        <w:spacing w:after="40" w:before="40"/>
      </w:pPr>
      <w:r>
        <w:rPr>
          <w:rFonts w:ascii="Arial" w:cs="Arial" w:eastAsia="Arial" w:hAnsi="Arial"/>
          <w:color w:val="404040"/>
          <w:sz w:val="20"/>
          <w:szCs w:val="20"/>
        </w:rPr>
        <w:t xml:space="preserve">Existing generator capacity at PRA HQ is minimum 200kVA — TechVista will verify during site survey.</w:t>
      </w:r>
    </w:p>
    <w:p>
      <w:pPr>
        <w:pStyle w:val="ListParagraph"/>
        <w:numPr>
          <w:ilvl w:val="0"/>
          <w:numId w:val="2"/>
        </w:numPr>
        <w:spacing w:after="40" w:before="40"/>
      </w:pPr>
      <w:r>
        <w:rPr>
          <w:rFonts w:ascii="Arial" w:cs="Arial" w:eastAsia="Arial" w:hAnsi="Arial"/>
          <w:color w:val="404040"/>
          <w:sz w:val="20"/>
          <w:szCs w:val="20"/>
        </w:rPr>
        <w:t xml:space="preserve">All import duties and clearing charges for hardware are included in the quoted prices.</w:t>
      </w:r>
    </w:p>
    <w:p>
      <w:pPr>
        <w:pStyle w:val="ListParagraph"/>
        <w:numPr>
          <w:ilvl w:val="0"/>
          <w:numId w:val="2"/>
        </w:numPr>
        <w:spacing w:after="40" w:before="40"/>
      </w:pPr>
      <w:r>
        <w:rPr>
          <w:rFonts w:ascii="Arial" w:cs="Arial" w:eastAsia="Arial" w:hAnsi="Arial"/>
          <w:color w:val="404040"/>
          <w:sz w:val="20"/>
          <w:szCs w:val="20"/>
        </w:rPr>
        <w:t xml:space="preserve">Any change in scope beyond the agreed BOQ will be subject to a formal Change Request (CR) process with PITB approval.</w:t>
      </w:r>
    </w:p>
    <w:p>
      <w:pPr>
        <w:pStyle w:val="ListParagraph"/>
        <w:numPr>
          <w:ilvl w:val="0"/>
          <w:numId w:val="2"/>
        </w:numPr>
        <w:spacing w:after="40" w:before="40"/>
      </w:pPr>
      <w:r>
        <w:rPr>
          <w:rFonts w:ascii="Arial" w:cs="Arial" w:eastAsia="Arial" w:hAnsi="Arial"/>
          <w:color w:val="404040"/>
          <w:sz w:val="20"/>
          <w:szCs w:val="20"/>
        </w:rPr>
        <w:t xml:space="preserve">Force Majeure events will be excluded from SLA calculations in accordance with contract terms.</w:t>
      </w:r>
    </w:p>
    <w:p>
      <w:pPr>
        <w:spacing w:after="80" w:before="80"/>
      </w:pPr>
      <w:r>
        <w:t xml:space="preserve"/>
      </w:r>
    </w:p>
    <w:p>
      <w:pPr>
        <w:spacing w:after="80" w:before="80"/>
      </w:pPr>
      <w:r>
        <w:t xml:space="preserve"/>
      </w:r>
    </w:p>
    <w:p>
      <w:pPr>
        <w:spacing w:after="100" w:before="200"/>
        <w:jc w:val="center"/>
      </w:pPr>
      <w:r>
        <w:rPr>
          <w:rFonts w:ascii="Arial" w:cs="Arial" w:eastAsia="Arial" w:hAnsi="Arial"/>
          <w:b/>
          <w:bCs/>
          <w:i/>
          <w:iCs/>
          <w:color w:val="777777"/>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999999"/>
        <w:sz w:val="15"/>
        <w:szCs w:val="15"/>
      </w:rPr>
      <w:t xml:space="preserve">CONFIDENTIAL  |  TechVista Systems (Pvt.) Ltd.  |  12-C MM Alam Road, Gulberg III, Lahore  |  bids@techvista.com.pk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space="4"/>
      </w:pBdr>
      <w:spacing w:after="120"/>
      <w:jc w:val="right"/>
    </w:pPr>
    <w:r>
      <w:rPr>
        <w:rFonts w:ascii="Arial" w:cs="Arial" w:eastAsia="Arial" w:hAnsi="Arial"/>
        <w:color w:val="777777"/>
        <w:sz w:val="16"/>
        <w:szCs w:val="16"/>
      </w:rPr>
      <w:t xml:space="preserve">TechVista Systems (Pvt.) Ltd.  |  PITB/PRA/EIMS/2025-26/001  |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0C0" w:sz="8" w:space="4"/>
      </w:pBdr>
      <w:spacing w:after="160" w:before="28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70C0"/>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2026-06-11T20:47:52.550Z</dcterms:created>
  <dcterms:modified xsi:type="dcterms:W3CDTF">2026-06-11T20:47:52.551Z</dcterms:modified>
</cp:coreProperties>
</file>

<file path=docProps/custom.xml><?xml version="1.0" encoding="utf-8"?>
<Properties xmlns="http://schemas.openxmlformats.org/officeDocument/2006/custom-properties" xmlns:vt="http://schemas.openxmlformats.org/officeDocument/2006/docPropsVTypes"/>
</file>