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1F4E79"/>
          <w:sz w:val="32"/>
          <w:szCs w:val="32"/>
        </w:rPr>
        <w:t xml:space="preserve">Task 13 — Sensor Data Ingestion Backend</w:t>
      </w:r>
    </w:p>
    <w:p>
      <w:pPr>
        <w:spacing w:after="400"/>
        <w:jc w:val="center"/>
      </w:pPr>
      <w:r>
        <w:rPr>
          <w:i/>
          <w:iCs/>
          <w:sz w:val="22"/>
          <w:szCs w:val="22"/>
        </w:rPr>
        <w:t xml:space="preserve">Technical Report — Integration and Network Phase, Week 1</w:t>
      </w:r>
    </w:p>
    <w:p>
      <w:pPr>
        <w:pStyle w:val="Heading1"/>
        <w:spacing w:after="150" w:before="300"/>
      </w:pPr>
      <w:r>
        <w:t xml:space="preserve">1. Selected Product Scenario and System Objective</w:t>
      </w:r>
    </w:p>
    <w:p>
      <w:pPr>
        <w:spacing w:after="150"/>
      </w:pPr>
      <w:r>
        <w:t xml:space="preserve">The selected product scenario is AgroTech soil monitoring. A simulated soil sensor measures two properties relevant to crop health — soil moisture percentage and soil temperature — and periodically reports them to a backend service. In a real deployment, this data would inform irrigation decisions or feed into a larger farm-monitoring dashboard; here, the goal is to build and validate the ingestion pipeline that such a system would depend on, before any real hardware or database is involved.</w:t>
      </w:r>
    </w:p>
    <w:p>
      <w:pPr>
        <w:spacing w:after="150"/>
      </w:pPr>
      <w:r>
        <w:t xml:space="preserve">The system's objective is narrow and deliberate: prove that a producer (the sensor simulator) can reliably send structured readings to a consumer (the FastAPI backend), that the backend can distinguish valid from invalid data, and that both accepted data and rejections can be inspected afterward through a documented API.</w:t>
      </w:r>
    </w:p>
    <w:p>
      <w:pPr>
        <w:pStyle w:val="Heading1"/>
        <w:spacing w:after="150" w:before="300"/>
      </w:pPr>
      <w:r>
        <w:t xml:space="preserve">2. System Architecture and Component Responsibilities</w:t>
      </w:r>
    </w:p>
    <w:p>
      <w:pPr>
        <w:spacing w:after="150"/>
      </w:pPr>
      <w:r>
        <w:t xml:space="preserve">The system has two independent components communicating over HTTP:</w:t>
      </w:r>
    </w:p>
    <w:p>
      <w:pPr>
        <w:pStyle w:val="ListParagraph"/>
        <w:numPr>
          <w:ilvl w:val="0"/>
          <w:numId w:val="1"/>
        </w:numPr>
        <w:spacing w:after="80"/>
      </w:pPr>
      <w:r>
        <w:t xml:space="preserve">Simulator (producer) — generates realistic soil-sensor readings at a configurable interval, attaches identifiers and a timestamp to each one, sends them to the backend via HTTP POST, and reports success or failure for each send without crashing if the backend is unreachable.</w:t>
      </w:r>
    </w:p>
    <w:p>
      <w:pPr>
        <w:pStyle w:val="ListParagraph"/>
        <w:numPr>
          <w:ilvl w:val="0"/>
          <w:numId w:val="1"/>
        </w:numPr>
        <w:spacing w:after="80"/>
      </w:pPr>
      <w:r>
        <w:t xml:space="preserve">Backend (consumer) — a FastAPI service that exposes five routes, validates every incoming reading at both the structural level (correct fields and types, enforced automatically by Pydantic) and the domain-meaning level (physically plausible values, enforced by custom checks), stores accepted readings in memory, and serves retrieval routes for the latest data overall and per device.</w:t>
      </w:r>
    </w:p>
    <w:p>
      <w:pPr>
        <w:spacing w:after="150"/>
      </w:pPr>
      <w:r>
        <w:t xml:space="preserve">The two components do not share code or memory; they agree only on the JSON contract described in Section 3. This mirrors how independently-developed hardware and backend teams would integrate in a real product.</w:t>
      </w:r>
    </w:p>
    <w:p>
      <w:pPr>
        <w:pStyle w:val="Heading1"/>
        <w:spacing w:after="150" w:before="300"/>
      </w:pPr>
      <w:r>
        <w:t xml:space="preserve">3. Sensor-Data Contract, Identifiers, Timestamps, and Units</w:t>
      </w:r>
    </w:p>
    <w:p>
      <w:pPr>
        <w:spacing w:after="150"/>
      </w:pPr>
      <w:r>
        <w:t xml:space="preserve">Every reading sent by the simulator and accepted by the backend follows a fixed JSON structure, shown below with an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00"/>
      </w:tblGrid>
      <w:tr>
        <w:tc>
          <w:tcPr>
            <w:tcW w:type="dxa" w:w="3200"/>
            <w:shd w:fill="1F4E79" w:val="clear"/>
          </w:tcPr>
          <w:p>
            <w:r>
              <w:rPr>
                <w:b/>
                <w:bCs/>
                <w:color w:val="FFFFFF"/>
              </w:rPr>
              <w:t xml:space="preserve">Field</w:t>
            </w:r>
          </w:p>
        </w:tc>
        <w:tc>
          <w:tcPr>
            <w:tcW w:type="dxa" w:w="2500"/>
            <w:shd w:fill="1F4E79" w:val="clear"/>
          </w:tcPr>
          <w:p>
            <w:r>
              <w:rPr>
                <w:b/>
                <w:bCs/>
                <w:color w:val="FFFFFF"/>
              </w:rPr>
              <w:t xml:space="preserve">Type</w:t>
            </w:r>
          </w:p>
        </w:tc>
        <w:tc>
          <w:tcPr>
            <w:tcW w:type="dxa" w:w="3300"/>
            <w:shd w:fill="1F4E79" w:val="clear"/>
          </w:tcPr>
          <w:p>
            <w:r>
              <w:rPr>
                <w:b/>
                <w:bCs/>
                <w:color w:val="FFFFFF"/>
              </w:rPr>
              <w:t xml:space="preserve">Purpose</w:t>
            </w:r>
          </w:p>
        </w:tc>
      </w:tr>
      <w:tr>
        <w:tc>
          <w:tcPr>
            <w:tcW w:type="dxa" w:w="3200"/>
          </w:tcPr>
          <w:p>
            <w:r>
              <w:rPr>
                <w:b w:val="false"/>
                <w:bCs w:val="false"/>
                <w:color w:val="000000"/>
              </w:rPr>
              <w:t xml:space="preserve">device_id</w:t>
            </w:r>
          </w:p>
        </w:tc>
        <w:tc>
          <w:tcPr>
            <w:tcW w:type="dxa" w:w="2500"/>
          </w:tcPr>
          <w:p>
            <w:r>
              <w:rPr>
                <w:b w:val="false"/>
                <w:bCs w:val="false"/>
                <w:color w:val="000000"/>
              </w:rPr>
              <w:t xml:space="preserve">string</w:t>
            </w:r>
          </w:p>
        </w:tc>
        <w:tc>
          <w:tcPr>
            <w:tcW w:type="dxa" w:w="3300"/>
          </w:tcPr>
          <w:p>
            <w:r>
              <w:rPr>
                <w:b w:val="false"/>
                <w:bCs w:val="false"/>
                <w:color w:val="000000"/>
              </w:rPr>
              <w:t xml:space="preserve">Identifies which physical sensor sent the reading</w:t>
            </w:r>
          </w:p>
        </w:tc>
      </w:tr>
      <w:tr>
        <w:tc>
          <w:tcPr>
            <w:tcW w:type="dxa" w:w="3200"/>
          </w:tcPr>
          <w:p>
            <w:r>
              <w:rPr>
                <w:b w:val="false"/>
                <w:bCs w:val="false"/>
                <w:color w:val="000000"/>
              </w:rPr>
              <w:t xml:space="preserve">session_id</w:t>
            </w:r>
          </w:p>
        </w:tc>
        <w:tc>
          <w:tcPr>
            <w:tcW w:type="dxa" w:w="2500"/>
          </w:tcPr>
          <w:p>
            <w:r>
              <w:rPr>
                <w:b w:val="false"/>
                <w:bCs w:val="false"/>
                <w:color w:val="000000"/>
              </w:rPr>
              <w:t xml:space="preserve">string</w:t>
            </w:r>
          </w:p>
        </w:tc>
        <w:tc>
          <w:tcPr>
            <w:tcW w:type="dxa" w:w="3300"/>
          </w:tcPr>
          <w:p>
            <w:r>
              <w:rPr>
                <w:b w:val="false"/>
                <w:bCs w:val="false"/>
                <w:color w:val="000000"/>
              </w:rPr>
              <w:t xml:space="preserve">Groups readings from one continuous deployment/run, separate from device identity</w:t>
            </w:r>
          </w:p>
        </w:tc>
      </w:tr>
      <w:tr>
        <w:tc>
          <w:tcPr>
            <w:tcW w:type="dxa" w:w="3200"/>
          </w:tcPr>
          <w:p>
            <w:r>
              <w:rPr>
                <w:b w:val="false"/>
                <w:bCs w:val="false"/>
                <w:color w:val="000000"/>
              </w:rPr>
              <w:t xml:space="preserve">timestamp</w:t>
            </w:r>
          </w:p>
        </w:tc>
        <w:tc>
          <w:tcPr>
            <w:tcW w:type="dxa" w:w="2500"/>
          </w:tcPr>
          <w:p>
            <w:r>
              <w:rPr>
                <w:b w:val="false"/>
                <w:bCs w:val="false"/>
                <w:color w:val="000000"/>
              </w:rPr>
              <w:t xml:space="preserve">string (ISO 8601, UTC)</w:t>
            </w:r>
          </w:p>
        </w:tc>
        <w:tc>
          <w:tcPr>
            <w:tcW w:type="dxa" w:w="3300"/>
          </w:tcPr>
          <w:p>
            <w:r>
              <w:rPr>
                <w:b w:val="false"/>
                <w:bCs w:val="false"/>
                <w:color w:val="000000"/>
              </w:rPr>
              <w:t xml:space="preserve">When the reading was taken, in an unambiguous machine-readable format</w:t>
            </w:r>
          </w:p>
        </w:tc>
      </w:tr>
      <w:tr>
        <w:tc>
          <w:tcPr>
            <w:tcW w:type="dxa" w:w="3200"/>
          </w:tcPr>
          <w:p>
            <w:r>
              <w:rPr>
                <w:b w:val="false"/>
                <w:bCs w:val="false"/>
                <w:color w:val="000000"/>
              </w:rPr>
              <w:t xml:space="preserve">readings.soil_moisture_pct</w:t>
            </w:r>
          </w:p>
        </w:tc>
        <w:tc>
          <w:tcPr>
            <w:tcW w:type="dxa" w:w="2500"/>
          </w:tcPr>
          <w:p>
            <w:r>
              <w:rPr>
                <w:b w:val="false"/>
                <w:bCs w:val="false"/>
                <w:color w:val="000000"/>
              </w:rPr>
              <w:t xml:space="preserve">float (0-100)</w:t>
            </w:r>
          </w:p>
        </w:tc>
        <w:tc>
          <w:tcPr>
            <w:tcW w:type="dxa" w:w="3300"/>
          </w:tcPr>
          <w:p>
            <w:r>
              <w:rPr>
                <w:b w:val="false"/>
                <w:bCs w:val="false"/>
                <w:color w:val="000000"/>
              </w:rPr>
              <w:t xml:space="preserve">Soil moisture percentage</w:t>
            </w:r>
          </w:p>
        </w:tc>
      </w:tr>
      <w:tr>
        <w:tc>
          <w:tcPr>
            <w:tcW w:type="dxa" w:w="3200"/>
          </w:tcPr>
          <w:p>
            <w:r>
              <w:rPr>
                <w:b w:val="false"/>
                <w:bCs w:val="false"/>
                <w:color w:val="000000"/>
              </w:rPr>
              <w:t xml:space="preserve">readings.soil_temperature_c</w:t>
            </w:r>
          </w:p>
        </w:tc>
        <w:tc>
          <w:tcPr>
            <w:tcW w:type="dxa" w:w="2500"/>
          </w:tcPr>
          <w:p>
            <w:r>
              <w:rPr>
                <w:b w:val="false"/>
                <w:bCs w:val="false"/>
                <w:color w:val="000000"/>
              </w:rPr>
              <w:t xml:space="preserve">float (-10 to 60)</w:t>
            </w:r>
          </w:p>
        </w:tc>
        <w:tc>
          <w:tcPr>
            <w:tcW w:type="dxa" w:w="3300"/>
          </w:tcPr>
          <w:p>
            <w:r>
              <w:rPr>
                <w:b w:val="false"/>
                <w:bCs w:val="false"/>
                <w:color w:val="000000"/>
              </w:rPr>
              <w:t xml:space="preserve">Soil temperature in Celsius</w:t>
            </w:r>
          </w:p>
        </w:tc>
      </w:tr>
      <w:tr>
        <w:tc>
          <w:tcPr>
            <w:tcW w:type="dxa" w:w="3200"/>
          </w:tcPr>
          <w:p>
            <w:r>
              <w:rPr>
                <w:b w:val="false"/>
                <w:bCs w:val="false"/>
                <w:color w:val="000000"/>
              </w:rPr>
              <w:t xml:space="preserve">status</w:t>
            </w:r>
          </w:p>
        </w:tc>
        <w:tc>
          <w:tcPr>
            <w:tcW w:type="dxa" w:w="2500"/>
          </w:tcPr>
          <w:p>
            <w:r>
              <w:rPr>
                <w:b w:val="false"/>
                <w:bCs w:val="false"/>
                <w:color w:val="000000"/>
              </w:rPr>
              <w:t xml:space="preserve">string ("ok" or "error")</w:t>
            </w:r>
          </w:p>
        </w:tc>
        <w:tc>
          <w:tcPr>
            <w:tcW w:type="dxa" w:w="3300"/>
          </w:tcPr>
          <w:p>
            <w:r>
              <w:rPr>
                <w:b w:val="false"/>
                <w:bCs w:val="false"/>
                <w:color w:val="000000"/>
              </w:rPr>
              <w:t xml:space="preserve">Sensor-reported self-health status</w:t>
            </w:r>
          </w:p>
        </w:tc>
      </w:tr>
    </w:tbl>
    <w:p>
      <w:pPr>
        <w:spacing w:after="150"/>
      </w:pPr>
    </w:p>
    <w:p>
      <w:pPr>
        <w:spacing w:after="150"/>
      </w:pPr>
      <w:r>
        <w:t xml:space="preserve">device_id and session_id are deliberately kept separate: device_id identifies which physical sensor is speaking, while session_id identifies which continuous deployment or run the reading belongs to. A single device could be restarted or redeployed under a new session without changing its identity, and a single session could in principle span multiple devices — conflating the two would make it impossible to distinguish "a new device" from "the same device, a new run." Units are embedded directly in the field names (_pct, _c) so that no separate lookup or documentation is needed to interpret a raw payload correctly, and timestamps use ISO 8601 in UTC specifically to avoid the ambiguity of local time zones or non-standard date formats when readings may originate from devices in different locations.</w:t>
      </w:r>
    </w:p>
    <w:p>
      <w:pPr>
        <w:spacing w:after="150"/>
      </w:pPr>
      <w:r>
        <w:t xml:space="preserve">Example valid payload:</w:t>
      </w:r>
    </w:p>
    <w:p>
      <w:pPr>
        <w:spacing w:after="150"/>
      </w:pPr>
      <w:r>
        <w:t xml:space="preserve">{"device_id": "soil-sensor-01", "session_id": "session-demo", "timestamp": "2026-09-05T14:32:10Z", "readings": {"soil_moisture_pct": 42.5, "soil_temperature_c": 24.1}, "status": "ok"}</w:t>
      </w:r>
    </w:p>
    <w:p>
      <w:pPr>
        <w:pStyle w:val="Heading1"/>
        <w:spacing w:after="150" w:before="300"/>
      </w:pPr>
      <w:r>
        <w:t xml:space="preserve">4. Simulator Design and Generated Behaviour</w:t>
      </w:r>
    </w:p>
    <w:p>
      <w:pPr>
        <w:spacing w:after="150"/>
      </w:pPr>
      <w:r>
        <w:t xml:space="preserve">The simulator generates soil moisture readings in a realistic range (20–60%) and soil temperature readings in a realistic ambient range (18–30°C) using random variation within those bounds, rather than fully arbitrary numbers, so that generated data resembles what a real soil probe would report under normal conditions.</w:t>
      </w:r>
    </w:p>
    <w:p>
      <w:pPr>
        <w:spacing w:after="150"/>
      </w:pPr>
      <w:r>
        <w:t xml:space="preserve">The simulator accepts command-line arguments for the backend URL, device ID, session ID, send interval, number of readings, and which reading number (if any) should be deliberately invalid — allowing controlled, repeatable testing of both the normal path and the validation path without modifying code between runs. On each send, the simulator prints the HTTP status code and response body it received, or, if the backend cannot be reached, catches the resulting connection error explicitly, logs a clear message, and continues to the next scheduled reading rather than terminating.</w:t>
      </w:r>
    </w:p>
    <w:p>
      <w:pPr>
        <w:pStyle w:val="Heading1"/>
        <w:spacing w:after="150" w:before="300"/>
      </w:pPr>
      <w:r>
        <w:t xml:space="preserve">5. Backend Routes and Request-Response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shd w:fill="1F4E79" w:val="clear"/>
          </w:tcPr>
          <w:p>
            <w:r>
              <w:rPr>
                <w:b/>
                <w:bCs/>
                <w:color w:val="FFFFFF"/>
              </w:rPr>
              <w:t xml:space="preserve">Route</w:t>
            </w:r>
          </w:p>
        </w:tc>
        <w:tc>
          <w:tcPr>
            <w:tcW w:type="dxa" w:w="1500"/>
            <w:shd w:fill="1F4E79" w:val="clear"/>
          </w:tcPr>
          <w:p>
            <w:r>
              <w:rPr>
                <w:b/>
                <w:bCs/>
                <w:color w:val="FFFFFF"/>
              </w:rPr>
              <w:t xml:space="preserve">Method</w:t>
            </w:r>
          </w:p>
        </w:tc>
        <w:tc>
          <w:tcPr>
            <w:tcW w:type="dxa" w:w="4500"/>
            <w:shd w:fill="1F4E79" w:val="clear"/>
          </w:tcPr>
          <w:p>
            <w:r>
              <w:rPr>
                <w:b/>
                <w:bCs/>
                <w:color w:val="FFFFFF"/>
              </w:rPr>
              <w:t xml:space="preserve">Purpose</w:t>
            </w:r>
          </w:p>
        </w:tc>
      </w:tr>
      <w:tr>
        <w:tc>
          <w:tcPr>
            <w:tcW w:type="dxa" w:w="3000"/>
          </w:tcPr>
          <w:p>
            <w:r>
              <w:rPr>
                <w:b w:val="false"/>
                <w:bCs w:val="false"/>
                <w:color w:val="000000"/>
              </w:rPr>
              <w:t xml:space="preserve">/health</w:t>
            </w:r>
          </w:p>
        </w:tc>
        <w:tc>
          <w:tcPr>
            <w:tcW w:type="dxa" w:w="1500"/>
          </w:tcPr>
          <w:p>
            <w:r>
              <w:rPr>
                <w:b w:val="false"/>
                <w:bCs w:val="false"/>
                <w:color w:val="000000"/>
              </w:rPr>
              <w:t xml:space="preserve">GET</w:t>
            </w:r>
          </w:p>
        </w:tc>
        <w:tc>
          <w:tcPr>
            <w:tcW w:type="dxa" w:w="4500"/>
          </w:tcPr>
          <w:p>
            <w:r>
              <w:rPr>
                <w:b w:val="false"/>
                <w:bCs w:val="false"/>
                <w:color w:val="000000"/>
              </w:rPr>
              <w:t xml:space="preserve">Liveness check; confirms the backend process is running and reachable</w:t>
            </w:r>
          </w:p>
        </w:tc>
      </w:tr>
      <w:tr>
        <w:tc>
          <w:tcPr>
            <w:tcW w:type="dxa" w:w="3000"/>
          </w:tcPr>
          <w:p>
            <w:r>
              <w:rPr>
                <w:b w:val="false"/>
                <w:bCs w:val="false"/>
                <w:color w:val="000000"/>
              </w:rPr>
              <w:t xml:space="preserve">/readings</w:t>
            </w:r>
          </w:p>
        </w:tc>
        <w:tc>
          <w:tcPr>
            <w:tcW w:type="dxa" w:w="1500"/>
          </w:tcPr>
          <w:p>
            <w:r>
              <w:rPr>
                <w:b w:val="false"/>
                <w:bCs w:val="false"/>
                <w:color w:val="000000"/>
              </w:rPr>
              <w:t xml:space="preserve">POST</w:t>
            </w:r>
          </w:p>
        </w:tc>
        <w:tc>
          <w:tcPr>
            <w:tcW w:type="dxa" w:w="4500"/>
          </w:tcPr>
          <w:p>
            <w:r>
              <w:rPr>
                <w:b w:val="false"/>
                <w:bCs w:val="false"/>
                <w:color w:val="000000"/>
              </w:rPr>
              <w:t xml:space="preserve">Accepts one sensor reading; validates structure and physical plausibility before storing</w:t>
            </w:r>
          </w:p>
        </w:tc>
      </w:tr>
      <w:tr>
        <w:tc>
          <w:tcPr>
            <w:tcW w:type="dxa" w:w="3000"/>
          </w:tcPr>
          <w:p>
            <w:r>
              <w:rPr>
                <w:b w:val="false"/>
                <w:bCs w:val="false"/>
                <w:color w:val="000000"/>
              </w:rPr>
              <w:t xml:space="preserve">/readings/latest</w:t>
            </w:r>
          </w:p>
        </w:tc>
        <w:tc>
          <w:tcPr>
            <w:tcW w:type="dxa" w:w="1500"/>
          </w:tcPr>
          <w:p>
            <w:r>
              <w:rPr>
                <w:b w:val="false"/>
                <w:bCs w:val="false"/>
                <w:color w:val="000000"/>
              </w:rPr>
              <w:t xml:space="preserve">GET</w:t>
            </w:r>
          </w:p>
        </w:tc>
        <w:tc>
          <w:tcPr>
            <w:tcW w:type="dxa" w:w="4500"/>
          </w:tcPr>
          <w:p>
            <w:r>
              <w:rPr>
                <w:b w:val="false"/>
                <w:bCs w:val="false"/>
                <w:color w:val="000000"/>
              </w:rPr>
              <w:t xml:space="preserve">Returns the single most recent accepted reading across all devices</w:t>
            </w:r>
          </w:p>
        </w:tc>
      </w:tr>
      <w:tr>
        <w:tc>
          <w:tcPr>
            <w:tcW w:type="dxa" w:w="3000"/>
          </w:tcPr>
          <w:p>
            <w:r>
              <w:rPr>
                <w:b w:val="false"/>
                <w:bCs w:val="false"/>
                <w:color w:val="000000"/>
              </w:rPr>
              <w:t xml:space="preserve">/devices</w:t>
            </w:r>
          </w:p>
        </w:tc>
        <w:tc>
          <w:tcPr>
            <w:tcW w:type="dxa" w:w="1500"/>
          </w:tcPr>
          <w:p>
            <w:r>
              <w:rPr>
                <w:b w:val="false"/>
                <w:bCs w:val="false"/>
                <w:color w:val="000000"/>
              </w:rPr>
              <w:t xml:space="preserve">GET</w:t>
            </w:r>
          </w:p>
        </w:tc>
        <w:tc>
          <w:tcPr>
            <w:tcW w:type="dxa" w:w="4500"/>
          </w:tcPr>
          <w:p>
            <w:r>
              <w:rPr>
                <w:b w:val="false"/>
                <w:bCs w:val="false"/>
                <w:color w:val="000000"/>
              </w:rPr>
              <w:t xml:space="preserve">Returns the list of distinct device IDs seen so far</w:t>
            </w:r>
          </w:p>
        </w:tc>
      </w:tr>
      <w:tr>
        <w:tc>
          <w:tcPr>
            <w:tcW w:type="dxa" w:w="3000"/>
          </w:tcPr>
          <w:p>
            <w:r>
              <w:rPr>
                <w:b w:val="false"/>
                <w:bCs w:val="false"/>
                <w:color w:val="000000"/>
              </w:rPr>
              <w:t xml:space="preserve">/devices/{device_id}/latest</w:t>
            </w:r>
          </w:p>
        </w:tc>
        <w:tc>
          <w:tcPr>
            <w:tcW w:type="dxa" w:w="1500"/>
          </w:tcPr>
          <w:p>
            <w:r>
              <w:rPr>
                <w:b w:val="false"/>
                <w:bCs w:val="false"/>
                <w:color w:val="000000"/>
              </w:rPr>
              <w:t xml:space="preserve">GET</w:t>
            </w:r>
          </w:p>
        </w:tc>
        <w:tc>
          <w:tcPr>
            <w:tcW w:type="dxa" w:w="4500"/>
          </w:tcPr>
          <w:p>
            <w:r>
              <w:rPr>
                <w:b w:val="false"/>
                <w:bCs w:val="false"/>
                <w:color w:val="000000"/>
              </w:rPr>
              <w:t xml:space="preserve">Returns the most recent accepted reading for one specific device</w:t>
            </w:r>
          </w:p>
        </w:tc>
      </w:tr>
    </w:tbl>
    <w:p>
      <w:pPr>
        <w:spacing w:after="150"/>
      </w:pPr>
    </w:p>
    <w:p>
      <w:pPr>
        <w:spacing w:after="150"/>
      </w:pPr>
      <w:r>
        <w:t xml:space="preserve">POST /readings returns a confirmation message and the running count of stored readings on success, or an HTTP 422 response with a structured error explaining exactly what failed on rejection. GET routes that find no matching data (e.g. /devices/{device_id}/latest for an unknown device) return HTTP 404 with a descriptive message rather than an empty success response, so a calling client can distinguish "no data yet" from "the request succeeded."</w:t>
      </w:r>
    </w:p>
    <w:p>
      <w:pPr>
        <w:pStyle w:val="Heading1"/>
        <w:spacing w:after="150" w:before="300"/>
      </w:pPr>
      <w:r>
        <w:t xml:space="preserve">6. Validation and Error-Handling Strategy</w:t>
      </w:r>
    </w:p>
    <w:p>
      <w:pPr>
        <w:spacing w:after="150"/>
      </w:pPr>
      <w:r>
        <w:t xml:space="preserve">Validation happens in two distinct layers, deliberately separated because they catch different classes of problems:</w:t>
      </w:r>
    </w:p>
    <w:p>
      <w:pPr>
        <w:pStyle w:val="ListParagraph"/>
        <w:numPr>
          <w:ilvl w:val="0"/>
          <w:numId w:val="1"/>
        </w:numPr>
        <w:spacing w:after="80"/>
      </w:pPr>
      <w:r>
        <w:t xml:space="preserve">Structural validation (Pydantic models) — catches missing required fields, wrong data types, and malformed request bodies automatically, before the route's own code ever runs. This layer answers: ‘is this even a well-formed reading?’</w:t>
      </w:r>
    </w:p>
    <w:p>
      <w:pPr>
        <w:pStyle w:val="ListParagraph"/>
        <w:numPr>
          <w:ilvl w:val="0"/>
          <w:numId w:val="1"/>
        </w:numPr>
        <w:spacing w:after="80"/>
      </w:pPr>
      <w:r>
        <w:t xml:space="preserve">Domain/meaning validation (custom checks) — catches values that are structurally valid (correct type, present, well-formed) but physically impossible, such as a soil moisture reading of 250% or a temperature outside a plausible soil range. This layer answers: ‘does this reading make physical sense?’</w:t>
      </w:r>
    </w:p>
    <w:p>
      <w:pPr>
        <w:spacing w:after="150"/>
      </w:pPr>
      <w:r>
        <w:t xml:space="preserve">Both layers return HTTP 422 with a message naming the specific field and the reason it failed, rather than a generic failure or a raw internal stack trace — for example, a rejected moisture value returns the exact value received and the valid range it was compared against, so another developer integrating against this API could immediately identify and fix the problem on their end.</w:t>
      </w:r>
    </w:p>
    <w:p>
      <w:pPr>
        <w:pStyle w:val="Heading1"/>
        <w:spacing w:after="150" w:before="300"/>
      </w:pPr>
      <w:r>
        <w:t xml:space="preserve">7. Logging Strategy</w:t>
      </w:r>
    </w:p>
    <w:p>
      <w:pPr>
        <w:spacing w:after="150"/>
      </w:pPr>
      <w:r>
        <w:t xml:space="preserve">The backend logs at every event the task requires: an informational message on startup confirming in-memory storage is initialized and empty; an informational message for every accepted reading, including device ID, session ID, and the reading values; a warning-level message for every rejected reading, including the specific validation errors that caused the rejection; and informational messages for retrieval requests, including cases where no data exists yet for the requested query. This logging was confirmed directly during testing — accepted-reading log lines correctly displayed device, session, and values, and rejected readings produced distinct warning-level entries rather than being silently dropped or indistinguishable from successes.</w:t>
      </w:r>
    </w:p>
    <w:p>
      <w:pPr>
        <w:pStyle w:val="Heading1"/>
        <w:spacing w:after="150" w:before="300"/>
      </w:pPr>
      <w:r>
        <w:t xml:space="preserve">8. Same-Device and Cross-Device Test Results</w:t>
      </w:r>
    </w:p>
    <w:p>
      <w:pPr>
        <w:spacing w:after="150"/>
      </w:pPr>
      <w:r>
        <w:t xml:space="preserve">All same-device tests were executed directly and passed; results are summarized in the table below. The backend was run locally via Uvicorn bound to 0.0.0.0:8000 (rather than 127.0.0.1) specifically so that it would be reachable from another device on the network, not only from the machine it runs on — binding to 127.0.0.1 restricts a server to accepting connections only from itself, regardless of firewall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F4E79" w:val="clear"/>
          </w:tcPr>
          <w:p>
            <w:r>
              <w:rPr>
                <w:b/>
                <w:bCs/>
                <w:color w:val="FFFFFF"/>
              </w:rPr>
              <w:t xml:space="preserve">Test Case</w:t>
            </w:r>
          </w:p>
        </w:tc>
        <w:tc>
          <w:tcPr>
            <w:tcW w:type="dxa" w:w="3500"/>
            <w:shd w:fill="1F4E79" w:val="clear"/>
          </w:tcPr>
          <w:p>
            <w:r>
              <w:rPr>
                <w:b/>
                <w:bCs/>
                <w:color w:val="FFFFFF"/>
              </w:rPr>
              <w:t xml:space="preserve">Result</w:t>
            </w:r>
          </w:p>
        </w:tc>
      </w:tr>
      <w:tr>
        <w:tc>
          <w:tcPr>
            <w:tcW w:type="dxa" w:w="5500"/>
          </w:tcPr>
          <w:p>
            <w:r>
              <w:rPr>
                <w:b w:val="false"/>
                <w:bCs w:val="false"/>
                <w:color w:val="000000"/>
              </w:rPr>
              <w:t xml:space="preserve">Valid reading, same device, same machine</w:t>
            </w:r>
          </w:p>
        </w:tc>
        <w:tc>
          <w:tcPr>
            <w:tcW w:type="dxa" w:w="3500"/>
          </w:tcPr>
          <w:p>
            <w:r>
              <w:rPr>
                <w:b w:val="false"/>
                <w:bCs w:val="false"/>
                <w:color w:val="000000"/>
              </w:rPr>
              <w:t xml:space="preserve">Pass — HTTP 200, stored_count incremented</w:t>
            </w:r>
          </w:p>
        </w:tc>
      </w:tr>
      <w:tr>
        <w:tc>
          <w:tcPr>
            <w:tcW w:type="dxa" w:w="5500"/>
          </w:tcPr>
          <w:p>
            <w:r>
              <w:rPr>
                <w:b w:val="false"/>
                <w:bCs w:val="false"/>
                <w:color w:val="000000"/>
              </w:rPr>
              <w:t xml:space="preserve">Multiple readings from one device</w:t>
            </w:r>
          </w:p>
        </w:tc>
        <w:tc>
          <w:tcPr>
            <w:tcW w:type="dxa" w:w="3500"/>
          </w:tcPr>
          <w:p>
            <w:r>
              <w:rPr>
                <w:b w:val="false"/>
                <w:bCs w:val="false"/>
                <w:color w:val="000000"/>
              </w:rPr>
              <w:t xml:space="preserve">Pass — 8 readings sent, 7 accepted (1 deliberately invalid), stored_count tracked correctly</w:t>
            </w:r>
          </w:p>
        </w:tc>
      </w:tr>
      <w:tr>
        <w:tc>
          <w:tcPr>
            <w:tcW w:type="dxa" w:w="5500"/>
          </w:tcPr>
          <w:p>
            <w:r>
              <w:rPr>
                <w:b w:val="false"/>
                <w:bCs w:val="false"/>
                <w:color w:val="000000"/>
              </w:rPr>
              <w:t xml:space="preserve">Readings from two different device IDs</w:t>
            </w:r>
          </w:p>
        </w:tc>
        <w:tc>
          <w:tcPr>
            <w:tcW w:type="dxa" w:w="3500"/>
          </w:tcPr>
          <w:p>
            <w:r>
              <w:rPr>
                <w:b w:val="false"/>
                <w:bCs w:val="false"/>
                <w:color w:val="000000"/>
              </w:rPr>
              <w:t xml:space="preserve">Pass — both devices appear in /devices, each tracked independently</w:t>
            </w:r>
          </w:p>
        </w:tc>
      </w:tr>
      <w:tr>
        <w:tc>
          <w:tcPr>
            <w:tcW w:type="dxa" w:w="5500"/>
          </w:tcPr>
          <w:p>
            <w:r>
              <w:rPr>
                <w:b w:val="false"/>
                <w:bCs w:val="false"/>
                <w:color w:val="000000"/>
              </w:rPr>
              <w:t xml:space="preserve">Missing required field (session_id)</w:t>
            </w:r>
          </w:p>
        </w:tc>
        <w:tc>
          <w:tcPr>
            <w:tcW w:type="dxa" w:w="3500"/>
          </w:tcPr>
          <w:p>
            <w:r>
              <w:rPr>
                <w:b w:val="false"/>
                <w:bCs w:val="false"/>
                <w:color w:val="000000"/>
              </w:rPr>
              <w:t xml:space="preserve">Pass — HTTP 422, Pydantic error names the missing field precisely</w:t>
            </w:r>
          </w:p>
        </w:tc>
      </w:tr>
      <w:tr>
        <w:tc>
          <w:tcPr>
            <w:tcW w:type="dxa" w:w="5500"/>
          </w:tcPr>
          <w:p>
            <w:r>
              <w:rPr>
                <w:b w:val="false"/>
                <w:bCs w:val="false"/>
                <w:color w:val="000000"/>
              </w:rPr>
              <w:t xml:space="preserve">Out-of-range value (moisture = 250%)</w:t>
            </w:r>
          </w:p>
        </w:tc>
        <w:tc>
          <w:tcPr>
            <w:tcW w:type="dxa" w:w="3500"/>
          </w:tcPr>
          <w:p>
            <w:r>
              <w:rPr>
                <w:b w:val="false"/>
                <w:bCs w:val="false"/>
                <w:color w:val="000000"/>
              </w:rPr>
              <w:t xml:space="preserve">Pass — HTTP 422, custom validator names the field, value, and valid range</w:t>
            </w:r>
          </w:p>
        </w:tc>
      </w:tr>
      <w:tr>
        <w:tc>
          <w:tcPr>
            <w:tcW w:type="dxa" w:w="5500"/>
          </w:tcPr>
          <w:p>
            <w:r>
              <w:rPr>
                <w:b w:val="false"/>
                <w:bCs w:val="false"/>
                <w:color w:val="000000"/>
              </w:rPr>
              <w:t xml:space="preserve">Backend unavailable during simulator request</w:t>
            </w:r>
          </w:p>
        </w:tc>
        <w:tc>
          <w:tcPr>
            <w:tcW w:type="dxa" w:w="3500"/>
          </w:tcPr>
          <w:p>
            <w:r>
              <w:rPr>
                <w:b w:val="false"/>
                <w:bCs w:val="false"/>
                <w:color w:val="000000"/>
              </w:rPr>
              <w:t xml:space="preserve">Pass — simulator caught ConnectionError, logged it, continued to next reading without crashing</w:t>
            </w:r>
          </w:p>
        </w:tc>
      </w:tr>
      <w:tr>
        <w:tc>
          <w:tcPr>
            <w:tcW w:type="dxa" w:w="5500"/>
          </w:tcPr>
          <w:p>
            <w:r>
              <w:rPr>
                <w:b w:val="false"/>
                <w:bCs w:val="false"/>
                <w:color w:val="000000"/>
              </w:rPr>
              <w:t xml:space="preserve">Retrieval of latest overall reading</w:t>
            </w:r>
          </w:p>
        </w:tc>
        <w:tc>
          <w:tcPr>
            <w:tcW w:type="dxa" w:w="3500"/>
          </w:tcPr>
          <w:p>
            <w:r>
              <w:rPr>
                <w:b w:val="false"/>
                <w:bCs w:val="false"/>
                <w:color w:val="000000"/>
              </w:rPr>
              <w:t xml:space="preserve">Pass — /readings/latest returned the correct most recent record</w:t>
            </w:r>
          </w:p>
        </w:tc>
      </w:tr>
      <w:tr>
        <w:tc>
          <w:tcPr>
            <w:tcW w:type="dxa" w:w="5500"/>
          </w:tcPr>
          <w:p>
            <w:r>
              <w:rPr>
                <w:b w:val="false"/>
                <w:bCs w:val="false"/>
                <w:color w:val="000000"/>
              </w:rPr>
              <w:t xml:space="preserve">Retrieval of latest reading per device</w:t>
            </w:r>
          </w:p>
        </w:tc>
        <w:tc>
          <w:tcPr>
            <w:tcW w:type="dxa" w:w="3500"/>
          </w:tcPr>
          <w:p>
            <w:r>
              <w:rPr>
                <w:b w:val="false"/>
                <w:bCs w:val="false"/>
                <w:color w:val="000000"/>
              </w:rPr>
              <w:t xml:space="preserve">Pass — /devices/{id}/latest correctly scoped to one device, not mixed with others</w:t>
            </w:r>
          </w:p>
        </w:tc>
      </w:tr>
      <w:tr>
        <w:tc>
          <w:tcPr>
            <w:tcW w:type="dxa" w:w="5500"/>
          </w:tcPr>
          <w:p>
            <w:r>
              <w:rPr>
                <w:b w:val="false"/>
                <w:bCs w:val="false"/>
                <w:color w:val="000000"/>
              </w:rPr>
              <w:t xml:space="preserve">Valid reading from another device on the LAN</w:t>
            </w:r>
          </w:p>
        </w:tc>
        <w:tc>
          <w:tcPr>
            <w:tcW w:type="dxa" w:w="3500"/>
          </w:tcPr>
          <w:p>
            <w:r>
              <w:rPr>
                <w:b w:val="false"/>
                <w:bCs w:val="false"/>
                <w:color w:val="000000"/>
              </w:rPr>
              <w:t xml:space="preserve">Not completed — see Section 9</w:t>
            </w:r>
          </w:p>
        </w:tc>
      </w:tr>
    </w:tbl>
    <w:p>
      <w:pPr>
        <w:spacing w:after="150"/>
      </w:pPr>
    </w:p>
    <w:p>
      <w:pPr>
        <w:spacing w:after="150"/>
      </w:pPr>
      <w:r>
        <w:t xml:space="preserve">The cross-device test (simulator on a second physical laptop, backend on the first) was attempted but did not succeed within the available time; the diagnosis and outcome are documented in Section 9, since the investigation itself produced a clear, useful finding even though full cross-device operation was not demonstrated.</w:t>
      </w:r>
    </w:p>
    <w:p>
      <w:pPr>
        <w:pStyle w:val="Heading1"/>
        <w:spacing w:after="150" w:before="300"/>
      </w:pPr>
      <w:r>
        <w:t xml:space="preserve">9. Failure Cases and Observed System Behaviour</w:t>
      </w:r>
    </w:p>
    <w:p>
      <w:pPr>
        <w:spacing w:after="150"/>
      </w:pPr>
      <w:r>
        <w:t xml:space="preserve">Beyond the mandatory application-level failure tests (missing field, out-of-range value, backend unavailable — all of which passed cleanly), one unresolved network-level failure was investigated in depth.</w:t>
      </w:r>
    </w:p>
    <w:p>
      <w:pPr>
        <w:spacing w:after="150"/>
      </w:pPr>
      <w:r>
        <w:t xml:space="preserve">Symptom: a simulator run from a second laptop (Device H), targeting the backend's LAN IP address on the first laptop (Device L), failed with a connection-refused error. A basic ICMP ping from H to L also failed completely (100% packet loss), despite both devices reporting an identical Default Gateway address, confirming they were on the same network subnet.</w:t>
      </w:r>
    </w:p>
    <w:p>
      <w:pPr>
        <w:spacing w:after="150"/>
      </w:pPr>
      <w:r>
        <w:t xml:space="preserve">Diagnostic method: the backend was first confirmed to be functioning correctly when accessed locally on Device L, ruling out an application bug. Both devices' network configuration (Default Gateway) was then compared and found identical, ruling out a subnet mismatch. Because even ICMP ping — a protocol that does not use ports or the application layer at all — failed completely, a port-specific firewall rule on the backend's port (8000) was ruled out as the sole explanation, since a port-specific block would not affect ping.</w:t>
      </w:r>
    </w:p>
    <w:p>
      <w:pPr>
        <w:spacing w:after="150"/>
      </w:pPr>
      <w:r>
        <w:t xml:space="preserve">Likely cause: client isolation (also called AP isolation), a security feature commonly enabled on institutional Wi-Fi networks (such as campus or hostel networks) that deliberately prevents connected devices from communicating directly with one another, while still permitting each device to reach the internet normally. This would explain every observed symptom: identical subnet, working internet access on both devices, and complete failure of even the most basic device-to-device traffic.</w:t>
      </w:r>
    </w:p>
    <w:p>
      <w:pPr>
        <w:spacing w:after="150"/>
      </w:pPr>
      <w:r>
        <w:t xml:space="preserve">Attempted correction: both devices were reconnected to a personal mobile hotspot instead of the institutional Wi-Fi, since personal hotspots do not typically enforce client isolation. This workaround was in progress at the time of writing; the final result should be confirmed and this section updated accordingly before final submission.</w:t>
      </w:r>
    </w:p>
    <w:p>
      <w:pPr>
        <w:pStyle w:val="Heading1"/>
        <w:spacing w:after="150" w:before="300"/>
      </w:pPr>
      <w:r>
        <w:t xml:space="preserve">10. Limitations, Future Database/Edge Extension, and Conclusion</w:t>
      </w:r>
    </w:p>
    <w:p>
      <w:pPr>
        <w:spacing w:after="150"/>
      </w:pPr>
      <w:r>
        <w:t xml:space="preserve">The current system uses in-memory storage only — all accepted readings are lost when the backend process restarts, which is acceptable for this integration stage but would need to be replaced with persistent storage (e.g. SQLite or PostgreSQL, explicitly noted as out of scope for Week 1) before any real deployment. The backend also currently returns only the single latest reading per query rather than a historical range, which would need to be extended once persistent storage is added.</w:t>
      </w:r>
    </w:p>
    <w:p>
      <w:pPr>
        <w:spacing w:after="150"/>
      </w:pPr>
      <w:r>
        <w:t xml:space="preserve">The unresolved cross-device connectivity issue is the primary limitation of this submission. It is documented with a specific, evidence-based diagnosis (client isolation on the institutional network) rather than left unexplained, and a concrete workaround (personal hotspot) was identified and attempted. This distinction — between an untested feature and a tested-but-blocked feature with a documented root cause — reflects the core practical skill this task set out to build: separating network-layer problems from application-layer problems using the available diagnostic evidence (ping results, matching subnet configuration, and comparison against known-working local behaviour), rather than guessing at the cause.</w:t>
      </w:r>
    </w:p>
    <w:p>
      <w:pPr>
        <w:spacing w:after="150"/>
      </w:pPr>
      <w:r>
        <w:t xml:space="preserve">With that one exception, every required backend route, both validation layers, all logging requirements, and all mandatory application-level test cases were implemented and verified working. The system is ready to be extended in the next integration phase with persistent storage and, eventually, real hardware in place of the simulator.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2026-09-07T19:04:29.400Z</dcterms:created>
  <dcterms:modified xsi:type="dcterms:W3CDTF">2026-09-07T19:04:29.415Z</dcterms:modified>
</cp:coreProperties>
</file>

<file path=docProps/custom.xml><?xml version="1.0" encoding="utf-8"?>
<Properties xmlns="http://schemas.openxmlformats.org/officeDocument/2006/custom-properties" xmlns:vt="http://schemas.openxmlformats.org/officeDocument/2006/docPropsVTypes"/>
</file>