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Business Sketch</w:t>
      </w:r>
    </w:p>
    <w:p>
      <w:pPr>
        <w:pStyle w:val="Heading2"/>
      </w:pPr>
      <w:r>
        <w:t xml:space="preserve">Target Users &amp; Stakeholders</w:t>
      </w:r>
    </w:p>
    <w:p>
      <w:pPr>
        <w:spacing w:after="120"/>
      </w:pPr>
      <w:r>
        <w:rPr>
          <w:sz w:val="22"/>
          <w:szCs w:val="22"/>
        </w:rPr>
        <w:t xml:space="preserve">SupplyGuard AI serves three primary user roles within a Fortune 200 manufacturing supply chain organization: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Warehouse Associates: Report incoming shipment issues, log quality data, and create disruption events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QC Managers: Monitor the AI agent pipeline, trigger disruption scans across the supplier base, and review agent decision trails.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Supply Chain Directors: Approve or reject high-risk supplier swap recommendations, with full visibility into risk scores, audit trails, and alternative supplier options.</w:t>
      </w:r>
    </w:p>
    <w:p>
      <w:pPr>
        <w:spacing w:after="120"/>
      </w:pPr>
      <w:r>
        <w:rPr>
          <w:sz w:val="22"/>
          <w:szCs w:val="22"/>
        </w:rPr>
        <w:t xml:space="preserve">Secondary stakeholders include procurement teams (receive PO notifications), plant managers (impacted by supplier changes), and finance (cost impact of supplier swaps).</w:t>
      </w:r>
    </w:p>
    <w:p>
      <w:pPr>
        <w:pStyle w:val="Heading2"/>
      </w:pPr>
      <w:r>
        <w:t xml:space="preserve">KPIs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14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(Manual)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(SupplyGuard AI)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Disruption detection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4-24 hours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faster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cycle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days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 (auto) / &lt; 4 hours (HITL)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faster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swap accuracy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 (manual matching)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~92% (composite scoring + AVL)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+22% accuracy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compliance coverage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 documented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(every decision logged)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coverage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downtime cost avoided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$2.4M-$7.2M (at $50K-$150K/hr)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capability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Baseline vs. Target Outcomes</w:t>
      </w:r>
    </w:p>
    <w:p>
      <w:pPr>
        <w:spacing w:after="120"/>
      </w:pPr>
      <w:r>
        <w:rPr>
          <w:sz w:val="22"/>
          <w:szCs w:val="22"/>
        </w:rPr>
        <w:t xml:space="preserve">Today, supplier disruptions are detected via email, phone calls, or manual ERP checks, taking 4-24 hours. Procurement analysts manually search for alternatives, negotiate terms, and route approvals through email chains averaging 2-5 days. Decisions are poorly documented, creating audit gaps and compliance risk.</w:t>
      </w:r>
    </w:p>
    <w:p>
      <w:pPr>
        <w:spacing w:after="120"/>
      </w:pPr>
      <w:r>
        <w:rPr>
          <w:sz w:val="22"/>
          <w:szCs w:val="22"/>
        </w:rPr>
        <w:t xml:space="preserve">With SupplyGuard AI, disruptions are detected automatically via anomaly detection and forecasting. The 5-agent pipeline identifies alternatives, scores them on lead time, cost, certification, and geographic risk, and routes high-risk decisions to Directors within minutes. Every decision is logged with full traceability.</w:t>
      </w:r>
    </w:p>
    <w:p>
      <w:pPr>
        <w:pStyle w:val="Heading2"/>
      </w:pPr>
      <w:r>
        <w:t xml:space="preserve">ROI Estimate</w:t>
      </w:r>
    </w:p>
    <w:p>
      <w:pPr>
        <w:spacing w:after="120"/>
      </w:pPr>
      <w:r>
        <w:rPr>
          <w:sz w:val="22"/>
          <w:szCs w:val="22"/>
        </w:rPr>
        <w:t xml:space="preserve">Conservative assumptions: A Fortune 200 manufacturer experiences 50-100 supplier disruptions per year. At $50K-$150K per hour of production line downtime, reducing average response time from 12 hours to 2 hours saves 10 hours per incident. At a midpoint of $100K/hour, this yields $50M-$100M in potential annual savings on the high end. Even capturing 5-10% of this value through faster detection and response yields $2.5M-$10M annually against an estimated $150K-$300K annual system cost (cloud infrastructure, LLM API, maintenance).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2026-03-05T08:22:21.744Z</dcterms:created>
  <dcterms:modified xsi:type="dcterms:W3CDTF">2026-03-05T08:22:21.744Z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