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Governance &amp; Safety Brief</w:t>
      </w:r>
    </w:p>
    <w:p>
      <w:pPr>
        <w:pStyle w:val="Heading2"/>
      </w:pPr>
      <w:r>
        <w:t xml:space="preserve">Human-in-the-Loop Rules</w:t>
      </w:r>
    </w:p>
    <w:p>
      <w:pPr>
        <w:spacing w:after="120"/>
      </w:pPr>
      <w:r>
        <w:rPr>
          <w:sz w:val="22"/>
          <w:szCs w:val="22"/>
        </w:rPr>
        <w:t xml:space="preserve">SupplyGuard AI enforces mandatory human oversight for high-risk supplier decisions through deterministic escalation rules. The system never executes a supplier swap autonomously when any of the following conditions are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supplier has RED financial health AND an expired quality certification (escalates to 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Forecast trend is WORSENING with 2 or more anomaly ensemble votes (escalates to Director).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Composite risk score is 70 or above on the 0-100 scale (escalates to Director).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Quality certification is expired, regardless of risk score (escalates to Director).</w:t>
      </w:r>
    </w:p>
    <w:p>
      <w:pPr>
        <w:spacing w:after="120"/>
      </w:pPr>
      <w:r>
        <w:rPr>
          <w:sz w:val="22"/>
          <w:szCs w:val="22"/>
        </w:rPr>
        <w:t xml:space="preserve">Agent 5 (Executor) includes a hard guard: it raises a ValueError if called on a HITL-required decision without a Director approval. This guard cannot be bypassed by any code path.</w:t>
      </w:r>
    </w:p>
    <w:p>
      <w:pPr>
        <w:pStyle w:val="Heading2"/>
      </w:pPr>
      <w:r>
        <w:t xml:space="preserve">Audit &amp; Traceability Strategy</w:t>
      </w:r>
    </w:p>
    <w:p>
      <w:pPr>
        <w:spacing w:after="120"/>
      </w:pPr>
      <w:r>
        <w:rPr>
          <w:sz w:val="22"/>
          <w:szCs w:val="22"/>
        </w:rPr>
        <w:t xml:space="preserve">Every agent in the pipeline writes an immutable audit log entry BEFORE returning its result. Each entry contains: the pipeline run ID, agent name, full input data, full output data, confidence score (0.0-1.0), human-readable rationale, optional HITL actor ID, and an ISO 8601 timestamp. The audit log is append-only; DELETE requests return HTTP 403. Audit trails are queryable by run_id, enabling full reconstruction of any pipeline decision.</w:t>
      </w:r>
    </w:p>
    <w:p>
      <w:pPr>
        <w:pStyle w:val="Heading2"/>
      </w:pPr>
      <w:r>
        <w:t xml:space="preserve">Data Handling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data is fully synthetic. No real Cummins data, no PII, no proprietary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Supplier names, part numbers, financial statuses, and event data are generated for demonstration.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production, data at rest would be encrypted via Supabase Postgres (AES-256). Data in transit uses TLS.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prompts contain only synthetic supplier data. No sensitive information is sent to OpenAI.</w:t>
      </w:r>
    </w:p>
    <w:p>
      <w:pPr>
        <w:pStyle w:val="Heading2"/>
      </w:pPr>
      <w:r>
        <w:t xml:space="preserve">Fail-Safe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failure: If the LLM fails 3 consecutive validation attempts, a deterministic rule engine takes over with no LLM dependency. Pipeline never stalls.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offline: Agent tools include safe defaults (conservative risk scores) when API calls fail. Audit entries are logged locally if the backend is unreachable.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Invalid events: Malformed event data is caught at the orchestrator level with a ValidationError before any agent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Executor guard: Agent 5 refuses to execute if decision state is missing or HITL approval is absent.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Auto-scan deduplication: The background scanner tracks flagged suppliers to prevent duplicate event creation.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2026-03-05T08:22:21.670Z</dcterms:created>
  <dcterms:modified xsi:type="dcterms:W3CDTF">2026-03-05T08:22:21.670Z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