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Integration &amp; SLA Feasibility</w:t>
      </w:r>
    </w:p>
    <w:p>
      <w:pPr>
        <w:pStyle w:val="Heading2"/>
      </w:pPr>
      <w:r>
        <w:t xml:space="preserve">Deployment Options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200"/>
        <w:gridCol w:w="18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(Recommended)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 + Railway (backend) + Vercel (frontend)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pilot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containers on Cummins Kubernetes cluster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production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on Vercel, backend on internal network with SAP access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compromise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Estimated Effort for Production Pilot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20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ERP read connector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backend engineer + 1 SAP consultant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API access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PO write connector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backend engineer + 1 SAP consultant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write permissions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production setup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DevOps engineer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provisioning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/ Active Directory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backend engineer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service account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notification integration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engineer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admin approval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and threshold tuning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engineer + 2 business SMEs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data access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pilot effort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10-14 weeks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FTE equivalent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Sample SLA Excerpt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(excludes planned maintenance)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uptime calculation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execution 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 for 5-agent pipeline (no LLM)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latency measured per run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LLM-augmented pipeline 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 seconds end-to-end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latency with OpenAI calls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 notification delivery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 from escalation to Director alert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delta in audit log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completeness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agent decisions logged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entry count vs. agent count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 for P1 issues (system down)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creation to resolution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backup frequency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backups with 30-day retention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backup schedule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2026-03-05T08:22:21.971Z</dcterms:created>
  <dcterms:modified xsi:type="dcterms:W3CDTF">2026-03-05T08:22:21.971Z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