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Licensing &amp; Legal: Build vs. Buy</w:t>
      </w:r>
    </w:p>
    <w:p>
      <w:pPr>
        <w:pStyle w:val="Heading2"/>
      </w:pPr>
      <w:r>
        <w:t xml:space="preserve">Models Used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28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Library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(primary)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API (pay-per-token)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retention by OpenAI on API tier. Cummins data stays private.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(fallback option)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Llama 3 / Mistral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(Meta Community License / Apache 2.0)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Self-hostable. No API cost. Full data control.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Python (Pydantic + httpx)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(dependencies)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vendor lock-in. Fully owned by Cummins.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standard. No licensing fees.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+ shadcn/ui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Open-source. No licensing fees.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Open-source. No licensing fees.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/ Forecasting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statsforecast (AutoARIMA)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Open-source. Commercial use permitted.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(self-hosted) / Commercial (managed)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for development. $25/mo managed.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Open-Source Usage &amp; Data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core dependencies use permissive licenses (MIT, Apache 2.0) that allow commercial use, modification, and distribution without royalties.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copyleft (GPL) dependencies that would require source code disclosure.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OpenAI API tier: Data is not used for training per OpenAI API terms. For maximum data governance, self-hosted models (Llama 3, Mistral) eliminate external data transfer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Synthetic data only in the prototype. Production deployment requires Cummins data governance review for any real supplier data flowing through the system.</w:t>
      </w:r>
    </w:p>
    <w:p>
      <w:pPr>
        <w:pStyle w:val="Heading2"/>
      </w:pPr>
      <w:r>
        <w:t xml:space="preserve">Build vs. Buy Legal Comparison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4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(SupplyGuard)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(Vendor SaaS)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Cummins owns all code and customizations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owns platform; Cummins licenses access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(self-hosted option available)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on vendor cloud; subject to vendor DPA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lock-in risk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(open-source stack, MCP standard)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(proprietary APIs, data format lock-in)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Licensing cost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software licensing (open-source)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$50K-$200K/yr typical enterprise SaaS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 freedom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(full source access)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to vendor configuration options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/ compliance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source code audit possible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 on vendor SOC 2 / ISO certs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sz w:val="22"/>
          <w:szCs w:val="22"/>
        </w:rPr>
        <w:t xml:space="preserve">Recommendation: The build approach using open-source components with permissive licenses gives Cummins full IP ownership, zero software licensing costs, and complete data sovereignty. The MCP standard ensures interoperability without vendor lock-in.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2026-03-05T08:22:22.045Z</dcterms:created>
  <dcterms:modified xsi:type="dcterms:W3CDTF">2026-03-05T08:22:22.045Z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