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SUPPLYGUARD 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YOY Cost Optimization Plan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Targeting Minimum Spend, Efficiency Gains, and Reusability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Cummins Xtern 2026 Challenge  |  Team 5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1. Value Proposition</w:t>
      </w:r>
    </w:p>
    <w:p>
      <w:pPr>
        <w:spacing w:after="120"/>
      </w:pPr>
      <w:r>
        <w:rPr>
          <w:sz w:val="22"/>
          <w:szCs w:val="22"/>
        </w:rPr>
        <w:t xml:space="preserve">SupplyGuard AI is designed as a reusable multi-agent framework, not a single-purpose application. The agent pipeline architecture (orchestrator + domain agents + MCP tool servers) can be repurposed for warranty claims, preventive maintenance scheduling, parts fulfillment, and other supply chain workflows with minimal modification. This reuse-first design minimizes Cummins IT investment year over year.</w:t>
      </w:r>
    </w:p>
    <w:p>
      <w:pPr>
        <w:pStyle w:val="Heading1"/>
      </w:pPr>
      <w:r>
        <w:t xml:space="preserve">2. Framework Reusability</w:t>
      </w:r>
    </w:p>
    <w:p>
      <w:pPr>
        <w:spacing w:after="120"/>
      </w:pPr>
      <w:r>
        <w:rPr>
          <w:sz w:val="22"/>
          <w:szCs w:val="22"/>
        </w:rPr>
        <w:t xml:space="preserve">The system is built on three reusable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 Orchestration Layer: Sequential pipeline with HITL pause/resume, audit logging, and fallback logic. Reusable for any multi-step approval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MCP Tool Server Layer: Standardized tool interface via Model Context Protocol. New use cases only need new tool definitions, not new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 Shell: Role-based React dashboard with approval queues, audit trail viewer, and notification system. Reskinnable for different business domains.</w:t>
      </w:r>
    </w:p>
    <w:p>
      <w:pPr>
        <w:spacing w:after="120"/>
      </w:pPr>
      <w:r>
        <w:rPr>
          <w:sz w:val="22"/>
          <w:szCs w:val="22"/>
        </w:rPr>
        <w:t xml:space="preserve">Estimated reuse savings: 60-70% reduction in development effort for each subsequent use case deployed on the same framework.</w:t>
      </w:r>
    </w:p>
    <w:p>
      <w:pPr>
        <w:pStyle w:val="Heading1"/>
      </w:pPr>
      <w:r>
        <w:t xml:space="preserve">3. YOY Cost Trajectory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(Build)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(Optimize)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(Scale)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/ Build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(OpenAI)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&amp; Support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Onboarding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Annual Spend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$187,000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$85,000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$70,000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3.1 Key Optimization Levers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 1 to Year 2: LLM cost reduction via deterministic fallback first (use rule engine for 80% of decisions, LLM only for complex rationale generation). Migration from OpenAI to self-hosted open-source models (Llama 3, Mistral) for non-critical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 2 to Year 3: Framework reuse for 2-3 additional use cases amortizes infrastructure cost. Prompt caching and response memoization reduce API calls by 40-60%.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Ongoing: Supabase free tier covers development; production Postgres at $25/month. Railway backend hosting at $5/month for student tier, scaling to $20-50/month in production.</w:t>
      </w:r>
    </w:p>
    <w:p>
      <w:pPr>
        <w:pStyle w:val="Heading1"/>
      </w:pPr>
      <w:r>
        <w:t xml:space="preserve">4. Build vs. Buy vs. Reuse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800"/>
        <w:gridCol w:w="20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Cost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TCO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(SupplyGuard)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$187K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$342K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control, reusable framework, no vendor lock-in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build effort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(Vendor SaaS)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$750K+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initial deployment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lock-in, per-seat pricing, limited customization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(Open-source + managed)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$310K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build cost, community support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complexity, less Cummins-specific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sz w:val="22"/>
          <w:szCs w:val="22"/>
        </w:rPr>
        <w:t xml:space="preserve">Recommendation: The Build option (SupplyGuard framework) provides the best 3-year TCO with full reusability. The framework approach means Year 2+ costs drop 55% as the same architecture serves multiple use cases. Vendor SaaS solutions charge per-seat and per-transaction, resulting in 2.2x higher 3-year TCO with no reusability.</w:t>
      </w:r>
    </w:p>
    <w:p>
      <w:pPr>
        <w:pStyle w:val="Heading1"/>
      </w:pPr>
      <w:r>
        <w:t xml:space="preserve">5. Efficiency Gains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 1: 90% reduction in disruption response time (12 hours to 1.2 hours average).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 2: Framework reuse for warranty claim processing saves $120K in duplicate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 3: Full automation of low-risk decisions (composite score &lt; 40) eliminates 60% of manual procurement reviews.</w:t>
      </w:r>
    </w:p>
    <w:p>
      <w:pPr>
        <w:spacing w:after="120"/>
      </w:pPr>
      <w:r>
        <w:rPr>
          <w:sz w:val="22"/>
          <w:szCs w:val="22"/>
        </w:rPr>
        <w:t xml:space="preserve">Cumulative 3-year value: $7.5M-$15M in avoided downtime cost vs. $342K total system cost = 22-44x ROI.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2026-03-05T08:22:21.874Z</dcterms:created>
  <dcterms:modified xsi:type="dcterms:W3CDTF">2026-03-05T08:22:21.874Z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