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F4E79"/>
          <w:sz w:val="44"/>
          <w:szCs w:val="44"/>
        </w:rPr>
        <w:t xml:space="preserve">SUPPLYGUARD AI</w:t>
      </w:r>
    </w:p>
    <w:p>
      <w:pPr>
        <w:spacing w:after="100"/>
        <w:jc w:val="center"/>
      </w:pPr>
      <w:r>
        <w:rPr>
          <w:rFonts w:ascii="Arial" w:cs="Arial" w:eastAsia="Arial" w:hAnsi="Arial"/>
          <w:b/>
          <w:bCs/>
          <w:color w:val="333333"/>
          <w:sz w:val="32"/>
          <w:szCs w:val="32"/>
        </w:rPr>
        <w:t xml:space="preserve">Technical Design Document</w:t>
      </w:r>
    </w:p>
    <w:p>
      <w:pPr>
        <w:spacing w:after="400"/>
        <w:jc w:val="center"/>
      </w:pPr>
      <w:r>
        <w:rPr>
          <w:rFonts w:ascii="Arial" w:cs="Arial" w:eastAsia="Arial" w:hAnsi="Arial"/>
          <w:i/>
          <w:iCs/>
          <w:color w:val="666666"/>
          <w:sz w:val="24"/>
          <w:szCs w:val="24"/>
        </w:rPr>
        <w:t xml:space="preserve">AI-Powered Supply Chain Disruption Detection &amp; Response</w:t>
      </w:r>
    </w:p>
    <w:p>
      <w:pPr>
        <w:spacing w:after="100"/>
        <w:jc w:val="center"/>
      </w:pPr>
      <w:r>
        <w:rPr>
          <w:color w:val="666666"/>
          <w:sz w:val="22"/>
          <w:szCs w:val="22"/>
        </w:rPr>
        <w:t xml:space="preserve">Cummins Xtern 2026 Challenge  |  Team 5</w:t>
      </w:r>
    </w:p>
    <w:p>
      <w:pPr>
        <w:spacing w:after="100"/>
        <w:jc w:val="center"/>
      </w:pPr>
      <w:r>
        <w:rPr>
          <w:color w:val="666666"/>
          <w:sz w:val="22"/>
          <w:szCs w:val="22"/>
        </w:rPr>
        <w:t xml:space="preserve">March 2026</w:t>
      </w:r>
    </w:p>
    <w:p>
      <w:r>
        <w:br w:type="page"/>
      </w:r>
    </w:p>
    <w:p>
      <w:pPr>
        <w:pStyle w:val="Heading1"/>
      </w:pPr>
      <w:r>
        <w:t xml:space="preserve">1. Architecture Overview</w:t>
      </w:r>
    </w:p>
    <w:p>
      <w:pPr>
        <w:spacing w:after="120"/>
      </w:pPr>
      <w:r>
        <w:rPr>
          <w:sz w:val="22"/>
          <w:szCs w:val="22"/>
        </w:rPr>
        <w:t xml:space="preserve">SupplyGuard AI is a multi-agent, multi-user intelligent system designed for Fortune 200 supply chain operations. The system detects supplier disruptions in real time, routes them through a 5-agent AI pipeline, supports human-in-the-loop (HITL) approval from a Director, and executes automated supplier swaps with a full immutable audit trail.</w:t>
      </w:r>
    </w:p>
    <w:p>
      <w:pPr>
        <w:pStyle w:val="Heading2"/>
      </w:pPr>
      <w:r>
        <w:t xml:space="preserve">1.1 System Layers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800"/>
        <w:gridCol w:w="800"/>
      </w:tblGrid>
      <w:tr>
        <w:tc>
          <w:tcPr>
            <w:tcW w:type="dxa" w:w="2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3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Port</w:t>
            </w:r>
          </w:p>
        </w:tc>
        <w:tc>
          <w:tcPr>
            <w:tcW w:type="dxa" w:w="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Owner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React 19 + TypeScript + Tailwind CSS + shadcn/ui</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5173</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P2</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Backend API</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FastAPI (unified REST API)</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3001</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Agent Pipeline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(5 sequential agents, Pydantic-validated)</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MCP Servers</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Node.js @modelcontextprotocol/sdk (3 servers)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stdio</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P3/P4</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Intelligence/ML</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(statsforecast, NumPy, Pandas)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In-process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HITL Resume API</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Python FastAPI (resumes paused pipelines)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8002</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P3</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Data Store</w:t>
            </w:r>
          </w:p>
        </w:tc>
        <w:tc>
          <w:tcPr>
            <w:tcW w:type="dxa" w:w="3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In-memory (production: Supabase Postgres)</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N/A</w:t>
            </w:r>
          </w:p>
        </w:tc>
        <w:tc>
          <w:tcPr>
            <w:tcW w:type="dxa" w:w="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P4</w:t>
            </w:r>
          </w:p>
        </w:tc>
      </w:tr>
    </w:tbl>
    <w:p>
      <w:pPr>
        <w:spacing w:before="160"/>
      </w:pPr>
    </w:p>
    <w:p>
      <w:pPr>
        <w:pStyle w:val="Heading2"/>
      </w:pPr>
      <w:r>
        <w:t xml:space="preserve">1.2 Architecture Diagram</w:t>
      </w:r>
    </w:p>
    <w:p>
      <w:pPr>
        <w:spacing w:after="120"/>
      </w:pPr>
      <w:r>
        <w:rPr>
          <w:sz w:val="22"/>
          <w:szCs w:val="22"/>
        </w:rPr>
        <w:t xml:space="preserve">The system follows a layered architecture with clear separation of concerns:</w:t>
      </w:r>
    </w:p>
    <w:p>
      <w:pPr>
        <w:spacing w:after="120"/>
      </w:pPr>
      <w:r>
        <w:rPr>
          <w:sz w:val="22"/>
          <w:szCs w:val="22"/>
        </w:rPr>
        <w:t xml:space="preserve">User (React UI) --&gt; Vite Proxy --&gt; FastAPI Backend (port 3001) --&gt; Agent Orchestrator --&gt; [Agent 1: Intake] --&gt; [Agent 2: Quality] --&gt; [Agent 3: History] --&gt; [Agent 4: Decision] --&gt; HITL Check --&gt; [Agent 5: Executor]</w:t>
      </w:r>
    </w:p>
    <w:p>
      <w:pPr>
        <w:spacing w:after="120"/>
      </w:pPr>
      <w:r>
        <w:rPr>
          <w:sz w:val="22"/>
          <w:szCs w:val="22"/>
        </w:rPr>
        <w:t xml:space="preserve">Each agent reads data from the backend via MCP tool wrappers (ERP, Audit, Comms servers) and writes immutable audit log entries after every decision.</w:t>
      </w:r>
    </w:p>
    <w:p>
      <w:pPr>
        <w:pStyle w:val="Heading1"/>
      </w:pPr>
      <w:r>
        <w:t xml:space="preserve">2. Agent Roles &amp; Decision Boundaries</w:t>
      </w:r>
    </w:p>
    <w:p>
      <w:pPr>
        <w:pStyle w:val="Heading2"/>
      </w:pPr>
      <w:r>
        <w:t xml:space="preserve">2.1 Agent Pipeline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600"/>
        <w:gridCol w:w="1400"/>
      </w:tblGrid>
      <w:tr>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Agent</w:t>
            </w:r>
          </w:p>
        </w:tc>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Role</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Key Tools</w:t>
            </w:r>
          </w:p>
        </w:tc>
        <w:tc>
          <w:tcPr>
            <w:tcW w:type="dxa" w:w="1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Output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1. Intake</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Parse event, enrich with supplier profile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get_supplier_profile</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IntakeResult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2. Quality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Check certs, compute quality sub-score</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get_quality_certs, get_parts_by_supplier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QualityResult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3. History</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Forecast delays, detect anomalies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get_forecast, get_anomaly_status</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HistoryResult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4. Decision</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Composite risk score, escalation rules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query_avl, get_parts_by_supplier</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DecisionResult</w:t>
            </w:r>
          </w:p>
        </w:tc>
      </w:tr>
      <w:tr>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5. Executor</w:t>
            </w:r>
          </w:p>
        </w:tc>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 PO, swap supplier, notify</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create_purchase_order, update_supplier_assignment</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ExecutorResult</w:t>
            </w:r>
          </w:p>
        </w:tc>
      </w:tr>
    </w:tbl>
    <w:p>
      <w:pPr>
        <w:spacing w:before="160"/>
      </w:pPr>
    </w:p>
    <w:p>
      <w:pPr>
        <w:pStyle w:val="Heading2"/>
      </w:pPr>
      <w:r>
        <w:t xml:space="preserve">2.2 Decision Logic</w:t>
      </w:r>
    </w:p>
    <w:p>
      <w:pPr>
        <w:spacing w:after="120"/>
      </w:pPr>
      <w:r>
        <w:rPr>
          <w:sz w:val="22"/>
          <w:szCs w:val="22"/>
        </w:rPr>
        <w:t xml:space="preserve">Agent 4 computes a composite risk score (0-100) using a weighted formula: 35% quality sub-score + 25% forecast instability + 25% anomaly ensemble votes + 15% risk index. Escalation rules are applied in priority order: (1) RED financial + expired cert triggers VP escalation, (2) worsening trend + 2+ anomaly votes triggers Director escalation, (3) score &gt;= 70 triggers Director escalation, (4) expired cert alone forces Director review, (5) otherwise auto-approve.</w:t>
      </w:r>
    </w:p>
    <w:p>
      <w:pPr>
        <w:pStyle w:val="Heading1"/>
      </w:pPr>
      <w:r>
        <w:t xml:space="preserve">3. MCP Usage &amp; Context Flow</w:t>
      </w:r>
    </w:p>
    <w:p>
      <w:pPr>
        <w:spacing w:after="120"/>
      </w:pPr>
      <w:r>
        <w:rPr>
          <w:sz w:val="22"/>
          <w:szCs w:val="22"/>
        </w:rPr>
        <w:t xml:space="preserve">The system implements three Model Context Protocol servers using @modelcontextprotocol/sdk (Node.js):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2600"/>
      </w:tblGrid>
      <w:tr>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MCP Server</w:t>
            </w:r>
          </w:p>
        </w:tc>
        <w:tc>
          <w:tcPr>
            <w:tcW w:type="dxa" w:w="3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Tools Exposed</w:t>
            </w:r>
          </w:p>
        </w:tc>
        <w:tc>
          <w:tcPr>
            <w:tcW w:type="dxa" w:w="26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r>
              <w:rPr>
                <w:rFonts w:ascii="Arial" w:cs="Arial" w:eastAsia="Arial" w:hAnsi="Arial"/>
                <w:b/>
                <w:bCs/>
                <w:color w:val="FFFFFF"/>
                <w:sz w:val="20"/>
                <w:szCs w:val="20"/>
              </w:rPr>
              <w:t xml:space="preserve">Data Flow</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ERP Server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get_supplier_profile, get_parts_by_supplier, query_avl, get_quality_certs, create_purchase_order, update_supplier_assignment, get_open_orders, list_suppliers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Read/write supplier, parts, AVL, and PO data</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Audit Server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log_audit_decision, get_audit_trail, list_pipeline_runs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Immutable append-only decision logging</w:t>
            </w:r>
          </w:p>
        </w:tc>
      </w:tr>
      <w:tr>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Comms Server</w:t>
            </w:r>
          </w:p>
        </w:tc>
        <w:tc>
          <w:tcPr>
            <w:tcW w:type="dxa" w:w="3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send_notification, create_approval_request, get_pending_approvals, decide_approval, get_notifications</w:t>
            </w:r>
          </w:p>
        </w:tc>
        <w:tc>
          <w:tcPr>
            <w:tcW w:type="dxa" w:w="26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20"/>
                <w:szCs w:val="20"/>
              </w:rPr>
              <w:t xml:space="preserve">Simulated Teams notifications, HITL approvals</w:t>
            </w:r>
          </w:p>
        </w:tc>
      </w:tr>
    </w:tbl>
    <w:p>
      <w:pPr>
        <w:spacing w:before="160"/>
      </w:pPr>
    </w:p>
    <w:p>
      <w:pPr>
        <w:spacing w:after="120"/>
      </w:pPr>
      <w:r>
        <w:rPr>
          <w:sz w:val="22"/>
          <w:szCs w:val="22"/>
        </w:rPr>
        <w:t xml:space="preserve">Python agents invoke MCP tools via HTTP wrappers that call the FastAPI backend. The MCP servers provide the canonical tool interface for external integrations. Context flows as structured Pydantic models (AgentState) through the pipeline, with each agent enriching the state object.</w:t>
      </w:r>
    </w:p>
    <w:p>
      <w:pPr>
        <w:pStyle w:val="Heading1"/>
      </w:pPr>
      <w:r>
        <w:t xml:space="preserve">4. Orchestration Strategy</w:t>
      </w:r>
    </w:p>
    <w:p>
      <w:pPr>
        <w:spacing w:after="120"/>
      </w:pPr>
      <w:r>
        <w:rPr>
          <w:sz w:val="22"/>
          <w:szCs w:val="22"/>
        </w:rPr>
        <w:t xml:space="preserve">The pipeline uses sequential orchestration: Agent 1 through 4 execute in order, each receiving the cumulative AgentState. After Agent 4, a deterministic HITL check occurs. If escalation is required, the state is serialized to the approvals store and the pipeline pauses. The Director acts via the React UI, which calls PATCH /api/approvals/:id/decide, which in turn calls the Resume API (port 8002) to reload state and execute Agent 5 only. For auto-approved events, Agent 5 runs inline immediately after Agent 4.</w:t>
      </w:r>
    </w:p>
    <w:p>
      <w:pPr>
        <w:spacing w:after="120"/>
      </w:pPr>
      <w:r>
        <w:rPr>
          <w:sz w:val="22"/>
          <w:szCs w:val="22"/>
        </w:rPr>
        <w:t xml:space="preserve">Every agent call is wrapped in try/catch with fallback logic. If the LLM fails 3 times, a deterministic rule engine takes over. This ensures the pipeline never stalls on transient API failures.</w:t>
      </w:r>
    </w:p>
    <w:p>
      <w:pPr>
        <w:pStyle w:val="Heading1"/>
      </w:pPr>
      <w:r>
        <w:t xml:space="preserve">5. Data Persistence &amp; Audit Strategy</w:t>
      </w:r>
    </w:p>
    <w:p>
      <w:pPr>
        <w:spacing w:after="120"/>
      </w:pPr>
      <w:r>
        <w:rPr>
          <w:sz w:val="22"/>
          <w:szCs w:val="22"/>
        </w:rPr>
        <w:t xml:space="preserve">The current implementation uses in-memory Python dictionaries (SUPPLIERS, PARTS, AVL, AUDIT_LOG, PENDING_APPROVALS, PURCHASE_ORDERS, NOTIFICATIONS) that mirror the production Supabase Postgres schema defined in db/schema.sql. All data resets on server restart, which is acceptable for the demo. In production, the FastAPI endpoints would be backed by Supabase client calls.</w:t>
      </w:r>
    </w:p>
    <w:p>
      <w:pPr>
        <w:spacing w:after="120"/>
      </w:pPr>
      <w:r>
        <w:rPr>
          <w:sz w:val="22"/>
          <w:szCs w:val="22"/>
        </w:rPr>
        <w:t xml:space="preserve">The audit trail is append-only and immutable. DELETE requests on audit entries return HTTP 403. Each entry records: run_id, agent_name, inputs (full JSON), outputs (full JSON), confidence score (0-1), human-readable rationale, optional HITL actor, and ISO timestamp. This provides full traceability for every agent decision.</w:t>
      </w:r>
    </w:p>
    <w:p>
      <w:pPr>
        <w:pStyle w:val="Heading1"/>
      </w:pPr>
      <w:r>
        <w:t xml:space="preserve">6. Security Overview</w:t>
      </w:r>
    </w:p>
    <w:p>
      <w:pPr>
        <w:pStyle w:val="ListParagraph"/>
        <w:numPr>
          <w:ilvl w:val="0"/>
          <w:numId w:val="2"/>
        </w:numPr>
        <w:spacing w:after="60"/>
      </w:pPr>
      <w:r>
        <w:rPr>
          <w:sz w:val="22"/>
          <w:szCs w:val="22"/>
        </w:rPr>
        <w:t xml:space="preserve">Authentication: Simulated role-based login (Director, QC Manager, Warehouse). Production: Supabase Auth with JWT and role claims.</w:t>
      </w:r>
    </w:p>
    <w:p>
      <w:pPr>
        <w:pStyle w:val="ListParagraph"/>
        <w:numPr>
          <w:ilvl w:val="0"/>
          <w:numId w:val="2"/>
        </w:numPr>
        <w:spacing w:after="60"/>
      </w:pPr>
      <w:r>
        <w:rPr>
          <w:sz w:val="22"/>
          <w:szCs w:val="22"/>
        </w:rPr>
        <w:t xml:space="preserve">Encryption in transit: All HTTP traffic between frontend and backend flows through Vite dev proxy. Production: HTTPS/TLS termination at load balancer.</w:t>
      </w:r>
    </w:p>
    <w:p>
      <w:pPr>
        <w:pStyle w:val="ListParagraph"/>
        <w:numPr>
          <w:ilvl w:val="0"/>
          <w:numId w:val="2"/>
        </w:numPr>
        <w:spacing w:after="60"/>
      </w:pPr>
      <w:r>
        <w:rPr>
          <w:sz w:val="22"/>
          <w:szCs w:val="22"/>
        </w:rPr>
        <w:t xml:space="preserve">Secrets handling: API keys stored in .env file (never committed). .env.example provided with placeholders. Production: environment variables via Railway/Vercel secret management.</w:t>
      </w:r>
    </w:p>
    <w:p>
      <w:pPr>
        <w:pStyle w:val="ListParagraph"/>
        <w:numPr>
          <w:ilvl w:val="0"/>
          <w:numId w:val="2"/>
        </w:numPr>
        <w:spacing w:after="60"/>
      </w:pPr>
      <w:r>
        <w:rPr>
          <w:sz w:val="22"/>
          <w:szCs w:val="22"/>
        </w:rPr>
        <w:t xml:space="preserve">Data isolation: No real/proprietary data used. All supplier names, part numbers, and financials are fully synthetic.</w:t>
      </w:r>
    </w:p>
    <w:p>
      <w:pPr>
        <w:pStyle w:val="ListParagraph"/>
        <w:numPr>
          <w:ilvl w:val="0"/>
          <w:numId w:val="2"/>
        </w:numPr>
        <w:spacing w:after="60"/>
      </w:pPr>
      <w:r>
        <w:rPr>
          <w:sz w:val="22"/>
          <w:szCs w:val="22"/>
        </w:rPr>
        <w:t xml:space="preserve">Audit immutability: Audit log entries cannot be deleted or modified via any API endpoint.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00" w:after="120"/>
      <w:outlineLvl w:val="0"/>
    </w:pPr>
    <w:rPr>
      <w:rFonts w:ascii="Arial" w:cs="Arial" w:eastAsia="Arial" w:hAnsi="Arial"/>
      <w:b/>
      <w:bCs/>
      <w:color w:val="1F4E79"/>
      <w:sz w:val="30"/>
      <w:szCs w:val="30"/>
    </w:rPr>
  </w:style>
  <w:style w:type="paragraph" w:styleId="Heading2">
    <w:name w:val="Heading 2"/>
    <w:basedOn w:val="Normal"/>
    <w:next w:val="Normal"/>
    <w:qFormat/>
    <w:pPr>
      <w:spacing w:before="160" w:after="80"/>
      <w:outlineLvl w:val="1"/>
    </w:pPr>
    <w:rPr>
      <w:rFonts w:ascii="Arial" w:cs="Arial" w:eastAsia="Arial" w:hAnsi="Arial"/>
      <w:b/>
      <w:bCs/>
      <w:color w:val="1F4E79"/>
      <w:sz w:val="26"/>
      <w:szCs w:val="26"/>
    </w:rPr>
  </w:style>
  <w:style w:type="paragraph" w:styleId="Heading3">
    <w:name w:val="Heading 3"/>
    <w:basedOn w:val="Normal"/>
    <w:next w:val="Normal"/>
    <w:qFormat/>
    <w:pPr>
      <w:spacing w:before="120" w:after="6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2026-03-05T08:22:21.504Z</dcterms:created>
  <dcterms:modified xsi:type="dcterms:W3CDTF">2026-03-05T08:22:21.505Z</dcterms:modified>
</cp:coreProperties>
</file>

<file path=docProps/custom.xml><?xml version="1.0" encoding="utf-8"?>
<Properties xmlns="http://schemas.openxmlformats.org/officeDocument/2006/custom-properties" xmlns:vt="http://schemas.openxmlformats.org/officeDocument/2006/docPropsVTypes"/>
</file>