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D33A" w14:textId="77777777" w:rsidR="0070082F" w:rsidRPr="0070082F" w:rsidRDefault="0070082F" w:rsidP="0070082F">
      <w:r w:rsidRPr="0070082F">
        <w:t xml:space="preserve">Below is a </w:t>
      </w:r>
      <w:r w:rsidRPr="0070082F">
        <w:rPr>
          <w:b/>
          <w:bCs/>
        </w:rPr>
        <w:t>focused, practical curriculum</w:t>
      </w:r>
      <w:r w:rsidRPr="0070082F">
        <w:t xml:space="preserve"> specifically for </w:t>
      </w:r>
      <w:r w:rsidRPr="0070082F">
        <w:rPr>
          <w:b/>
          <w:bCs/>
        </w:rPr>
        <w:t>MSLs</w:t>
      </w:r>
      <w:r w:rsidRPr="0070082F">
        <w:t xml:space="preserve"> on </w:t>
      </w:r>
      <w:r w:rsidRPr="0070082F">
        <w:rPr>
          <w:b/>
          <w:bCs/>
        </w:rPr>
        <w:t>Trial Results Interpretation</w:t>
      </w:r>
      <w:r w:rsidRPr="0070082F">
        <w:t>.</w:t>
      </w:r>
      <w:r w:rsidRPr="0070082F">
        <w:br/>
        <w:t>It is concise, outcome-focused, and aligned with real MSL responsibilities, including field conversations, evidence communication, and responding to HCP questions.</w:t>
      </w:r>
    </w:p>
    <w:p w14:paraId="246B1E5B" w14:textId="77777777" w:rsidR="0070082F" w:rsidRPr="0070082F" w:rsidRDefault="0070082F" w:rsidP="0070082F">
      <w:r w:rsidRPr="0070082F">
        <w:pict w14:anchorId="111CB5D2">
          <v:rect id="_x0000_i1097" style="width:0;height:1.5pt" o:hralign="center" o:hrstd="t" o:hr="t" fillcolor="#a0a0a0" stroked="f"/>
        </w:pict>
      </w:r>
    </w:p>
    <w:p w14:paraId="3C784B12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Trial Results Interpretation Framework — Focused Curriculum for MSLs</w:t>
      </w:r>
    </w:p>
    <w:p w14:paraId="6DE4CC5A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Learning Objective</w:t>
      </w:r>
    </w:p>
    <w:p w14:paraId="7D80783A" w14:textId="77777777" w:rsidR="0070082F" w:rsidRPr="0070082F" w:rsidRDefault="0070082F" w:rsidP="0070082F">
      <w:r w:rsidRPr="0070082F">
        <w:t xml:space="preserve">Enable MSLs to </w:t>
      </w:r>
      <w:r w:rsidRPr="0070082F">
        <w:rPr>
          <w:i/>
          <w:iCs/>
        </w:rPr>
        <w:t>quickly, accurately, and confidently</w:t>
      </w:r>
      <w:r w:rsidRPr="0070082F">
        <w:t xml:space="preserve"> interpret and communicate clinical trial results to HCPs, using a structured and reproducible framework.</w:t>
      </w:r>
    </w:p>
    <w:p w14:paraId="449139B0" w14:textId="77777777" w:rsidR="0070082F" w:rsidRPr="0070082F" w:rsidRDefault="0070082F" w:rsidP="0070082F">
      <w:r w:rsidRPr="0070082F">
        <w:pict w14:anchorId="1577E5B9">
          <v:rect id="_x0000_i1098" style="width:0;height:1.5pt" o:hralign="center" o:hrstd="t" o:hr="t" fillcolor="#a0a0a0" stroked="f"/>
        </w:pict>
      </w:r>
    </w:p>
    <w:p w14:paraId="125EEF14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Module 1 — The MSL Interpretation Mindset (30 min)</w:t>
      </w:r>
    </w:p>
    <w:p w14:paraId="5F069972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Key Concepts</w:t>
      </w:r>
    </w:p>
    <w:p w14:paraId="1B3999AF" w14:textId="77777777" w:rsidR="0070082F" w:rsidRPr="0070082F" w:rsidRDefault="0070082F" w:rsidP="0070082F">
      <w:pPr>
        <w:numPr>
          <w:ilvl w:val="0"/>
          <w:numId w:val="1"/>
        </w:numPr>
      </w:pPr>
      <w:r w:rsidRPr="0070082F">
        <w:t xml:space="preserve">Differences between </w:t>
      </w:r>
      <w:r w:rsidRPr="0070082F">
        <w:rPr>
          <w:i/>
          <w:iCs/>
        </w:rPr>
        <w:t>statistical</w:t>
      </w:r>
      <w:r w:rsidRPr="0070082F">
        <w:t xml:space="preserve">, </w:t>
      </w:r>
      <w:r w:rsidRPr="0070082F">
        <w:rPr>
          <w:i/>
          <w:iCs/>
        </w:rPr>
        <w:t>clinical</w:t>
      </w:r>
      <w:r w:rsidRPr="0070082F">
        <w:t xml:space="preserve">, and </w:t>
      </w:r>
      <w:r w:rsidRPr="0070082F">
        <w:rPr>
          <w:i/>
          <w:iCs/>
        </w:rPr>
        <w:t>regulatory</w:t>
      </w:r>
      <w:r w:rsidRPr="0070082F">
        <w:t xml:space="preserve"> significance</w:t>
      </w:r>
    </w:p>
    <w:p w14:paraId="0BC99E4D" w14:textId="77777777" w:rsidR="0070082F" w:rsidRPr="0070082F" w:rsidRDefault="0070082F" w:rsidP="0070082F">
      <w:pPr>
        <w:numPr>
          <w:ilvl w:val="0"/>
          <w:numId w:val="1"/>
        </w:numPr>
      </w:pPr>
      <w:r w:rsidRPr="0070082F">
        <w:t xml:space="preserve">Evidence hierarchy: RCTs → RWE → Subgroups → </w:t>
      </w:r>
      <w:proofErr w:type="gramStart"/>
      <w:r w:rsidRPr="0070082F">
        <w:t>Post-hoc</w:t>
      </w:r>
      <w:proofErr w:type="gramEnd"/>
    </w:p>
    <w:p w14:paraId="50CAADA3" w14:textId="77777777" w:rsidR="0070082F" w:rsidRPr="0070082F" w:rsidRDefault="0070082F" w:rsidP="0070082F">
      <w:pPr>
        <w:numPr>
          <w:ilvl w:val="0"/>
          <w:numId w:val="1"/>
        </w:numPr>
      </w:pPr>
      <w:r w:rsidRPr="0070082F">
        <w:t>“What does this mean for this patient?” as the primary lens</w:t>
      </w:r>
    </w:p>
    <w:p w14:paraId="0A7432DD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Skills</w:t>
      </w:r>
    </w:p>
    <w:p w14:paraId="26D00A4D" w14:textId="77777777" w:rsidR="0070082F" w:rsidRPr="0070082F" w:rsidRDefault="0070082F" w:rsidP="0070082F">
      <w:pPr>
        <w:numPr>
          <w:ilvl w:val="0"/>
          <w:numId w:val="2"/>
        </w:numPr>
      </w:pPr>
      <w:r w:rsidRPr="0070082F">
        <w:t xml:space="preserve">Identify the </w:t>
      </w:r>
      <w:r w:rsidRPr="0070082F">
        <w:rPr>
          <w:i/>
          <w:iCs/>
        </w:rPr>
        <w:t>clinical story</w:t>
      </w:r>
      <w:r w:rsidRPr="0070082F">
        <w:t xml:space="preserve"> behind statistics</w:t>
      </w:r>
    </w:p>
    <w:p w14:paraId="1627E06D" w14:textId="77777777" w:rsidR="0070082F" w:rsidRPr="0070082F" w:rsidRDefault="0070082F" w:rsidP="0070082F">
      <w:pPr>
        <w:numPr>
          <w:ilvl w:val="0"/>
          <w:numId w:val="2"/>
        </w:numPr>
      </w:pPr>
      <w:r w:rsidRPr="0070082F">
        <w:t>Recognize overinterpretation and avoid overselling</w:t>
      </w:r>
    </w:p>
    <w:p w14:paraId="12D96EC5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Practice</w:t>
      </w:r>
    </w:p>
    <w:p w14:paraId="3A7B45BF" w14:textId="77777777" w:rsidR="0070082F" w:rsidRPr="0070082F" w:rsidRDefault="0070082F" w:rsidP="0070082F">
      <w:pPr>
        <w:numPr>
          <w:ilvl w:val="0"/>
          <w:numId w:val="3"/>
        </w:numPr>
      </w:pPr>
      <w:r w:rsidRPr="0070082F">
        <w:t>Convert a statistical statement into a clinical takeaway</w:t>
      </w:r>
    </w:p>
    <w:p w14:paraId="262F837C" w14:textId="77777777" w:rsidR="0070082F" w:rsidRPr="0070082F" w:rsidRDefault="0070082F" w:rsidP="0070082F">
      <w:r w:rsidRPr="0070082F">
        <w:pict w14:anchorId="33B4B908">
          <v:rect id="_x0000_i1099" style="width:0;height:1.5pt" o:hralign="center" o:hrstd="t" o:hr="t" fillcolor="#a0a0a0" stroked="f"/>
        </w:pict>
      </w:r>
    </w:p>
    <w:p w14:paraId="07D3F063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Module 2 — The 5-Step MSL Trial Interpretation Framework (2 hours)</w:t>
      </w:r>
    </w:p>
    <w:p w14:paraId="68B9AC40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Step 1 — Understand the Trial Context</w:t>
      </w:r>
    </w:p>
    <w:p w14:paraId="36120C7C" w14:textId="77777777" w:rsidR="0070082F" w:rsidRPr="0070082F" w:rsidRDefault="0070082F" w:rsidP="0070082F">
      <w:pPr>
        <w:numPr>
          <w:ilvl w:val="0"/>
          <w:numId w:val="4"/>
        </w:numPr>
      </w:pPr>
      <w:r w:rsidRPr="0070082F">
        <w:t>Phase, design, comparator, population</w:t>
      </w:r>
    </w:p>
    <w:p w14:paraId="6D75C6D6" w14:textId="77777777" w:rsidR="0070082F" w:rsidRPr="0070082F" w:rsidRDefault="0070082F" w:rsidP="0070082F">
      <w:pPr>
        <w:numPr>
          <w:ilvl w:val="0"/>
          <w:numId w:val="4"/>
        </w:numPr>
      </w:pPr>
      <w:r w:rsidRPr="0070082F">
        <w:t>Endpoint classification: primary vs secondary vs exploratory</w:t>
      </w:r>
    </w:p>
    <w:p w14:paraId="5A59FF1E" w14:textId="77777777" w:rsidR="0070082F" w:rsidRPr="0070082F" w:rsidRDefault="0070082F" w:rsidP="0070082F">
      <w:pPr>
        <w:numPr>
          <w:ilvl w:val="0"/>
          <w:numId w:val="4"/>
        </w:numPr>
      </w:pPr>
      <w:r w:rsidRPr="0070082F">
        <w:t>Superiority vs non-inferiority vs equivalence</w:t>
      </w:r>
    </w:p>
    <w:p w14:paraId="499D1A02" w14:textId="77777777" w:rsidR="0070082F" w:rsidRPr="0070082F" w:rsidRDefault="0070082F" w:rsidP="0070082F">
      <w:r w:rsidRPr="0070082F">
        <w:rPr>
          <w:b/>
          <w:bCs/>
        </w:rPr>
        <w:t>MSL Outputs: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1</w:t>
      </w:r>
      <w:r w:rsidRPr="0070082F">
        <w:rPr>
          <w:rFonts w:ascii="Aptos" w:hAnsi="Aptos" w:cs="Aptos"/>
        </w:rPr>
        <w:t>–</w:t>
      </w:r>
      <w:r w:rsidRPr="0070082F">
        <w:t>3 sentence summary of trial purpose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Key inclusion/exclusion criteria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What clinical question the sponsor is trying to answer</w:t>
      </w:r>
    </w:p>
    <w:p w14:paraId="2AFB9F16" w14:textId="77777777" w:rsidR="0070082F" w:rsidRPr="0070082F" w:rsidRDefault="0070082F" w:rsidP="0070082F">
      <w:r w:rsidRPr="0070082F">
        <w:lastRenderedPageBreak/>
        <w:pict w14:anchorId="372B450B">
          <v:rect id="_x0000_i1100" style="width:0;height:1.5pt" o:hralign="center" o:hrstd="t" o:hr="t" fillcolor="#a0a0a0" stroked="f"/>
        </w:pict>
      </w:r>
    </w:p>
    <w:p w14:paraId="1212D919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Step 2 — Examine Baseline Comparability</w:t>
      </w:r>
    </w:p>
    <w:p w14:paraId="781F6035" w14:textId="77777777" w:rsidR="0070082F" w:rsidRPr="0070082F" w:rsidRDefault="0070082F" w:rsidP="0070082F">
      <w:r w:rsidRPr="0070082F">
        <w:t>Why it matters: imbalances can explain unexpected results.</w:t>
      </w:r>
    </w:p>
    <w:p w14:paraId="66BAC012" w14:textId="77777777" w:rsidR="0070082F" w:rsidRPr="0070082F" w:rsidRDefault="0070082F" w:rsidP="0070082F">
      <w:r w:rsidRPr="0070082F">
        <w:rPr>
          <w:b/>
          <w:bCs/>
        </w:rPr>
        <w:t>Focus Areas for MSLs</w:t>
      </w:r>
    </w:p>
    <w:p w14:paraId="25676542" w14:textId="77777777" w:rsidR="0070082F" w:rsidRPr="0070082F" w:rsidRDefault="0070082F" w:rsidP="0070082F">
      <w:pPr>
        <w:numPr>
          <w:ilvl w:val="0"/>
          <w:numId w:val="5"/>
        </w:numPr>
      </w:pPr>
      <w:r w:rsidRPr="0070082F">
        <w:t>Age/severity differences</w:t>
      </w:r>
    </w:p>
    <w:p w14:paraId="0AA44BFA" w14:textId="77777777" w:rsidR="0070082F" w:rsidRPr="0070082F" w:rsidRDefault="0070082F" w:rsidP="0070082F">
      <w:pPr>
        <w:numPr>
          <w:ilvl w:val="0"/>
          <w:numId w:val="5"/>
        </w:numPr>
      </w:pPr>
      <w:r w:rsidRPr="0070082F">
        <w:t>Biomarker status</w:t>
      </w:r>
    </w:p>
    <w:p w14:paraId="5C0375BC" w14:textId="77777777" w:rsidR="0070082F" w:rsidRPr="0070082F" w:rsidRDefault="0070082F" w:rsidP="0070082F">
      <w:pPr>
        <w:numPr>
          <w:ilvl w:val="0"/>
          <w:numId w:val="5"/>
        </w:numPr>
      </w:pPr>
      <w:r w:rsidRPr="0070082F">
        <w:t>Prior treatments</w:t>
      </w:r>
    </w:p>
    <w:p w14:paraId="0BC884D1" w14:textId="77777777" w:rsidR="0070082F" w:rsidRPr="0070082F" w:rsidRDefault="0070082F" w:rsidP="0070082F">
      <w:pPr>
        <w:numPr>
          <w:ilvl w:val="0"/>
          <w:numId w:val="5"/>
        </w:numPr>
      </w:pPr>
      <w:r w:rsidRPr="0070082F">
        <w:t>Geography imbalances</w:t>
      </w:r>
    </w:p>
    <w:p w14:paraId="269BFF66" w14:textId="77777777" w:rsidR="0070082F" w:rsidRPr="0070082F" w:rsidRDefault="0070082F" w:rsidP="0070082F">
      <w:r w:rsidRPr="0070082F">
        <w:rPr>
          <w:b/>
          <w:bCs/>
        </w:rPr>
        <w:t>MSL Outputs: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Identify any important imbalances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Prepare a neutral explanation</w:t>
      </w:r>
    </w:p>
    <w:p w14:paraId="49A1ABBE" w14:textId="77777777" w:rsidR="0070082F" w:rsidRPr="0070082F" w:rsidRDefault="0070082F" w:rsidP="0070082F">
      <w:r w:rsidRPr="0070082F">
        <w:pict w14:anchorId="1204885F">
          <v:rect id="_x0000_i1101" style="width:0;height:1.5pt" o:hralign="center" o:hrstd="t" o:hr="t" fillcolor="#a0a0a0" stroked="f"/>
        </w:pict>
      </w:r>
    </w:p>
    <w:p w14:paraId="5A4680FF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Step 3 — Interpret the Primary Endpoint Correctly</w:t>
      </w:r>
    </w:p>
    <w:p w14:paraId="5DCFA2D5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For time-to-event endpoints</w:t>
      </w:r>
    </w:p>
    <w:p w14:paraId="01A6AA50" w14:textId="77777777" w:rsidR="0070082F" w:rsidRPr="0070082F" w:rsidRDefault="0070082F" w:rsidP="0070082F">
      <w:pPr>
        <w:numPr>
          <w:ilvl w:val="0"/>
          <w:numId w:val="6"/>
        </w:numPr>
      </w:pPr>
      <w:r w:rsidRPr="0070082F">
        <w:t>Reading KM curves</w:t>
      </w:r>
    </w:p>
    <w:p w14:paraId="71E065DF" w14:textId="77777777" w:rsidR="0070082F" w:rsidRPr="0070082F" w:rsidRDefault="0070082F" w:rsidP="0070082F">
      <w:pPr>
        <w:numPr>
          <w:ilvl w:val="0"/>
          <w:numId w:val="6"/>
        </w:numPr>
      </w:pPr>
      <w:r w:rsidRPr="0070082F">
        <w:t xml:space="preserve">What hazard ratios </w:t>
      </w:r>
      <w:r w:rsidRPr="0070082F">
        <w:rPr>
          <w:i/>
          <w:iCs/>
        </w:rPr>
        <w:t>really</w:t>
      </w:r>
      <w:r w:rsidRPr="0070082F">
        <w:t xml:space="preserve"> represent</w:t>
      </w:r>
    </w:p>
    <w:p w14:paraId="48B11FA9" w14:textId="77777777" w:rsidR="0070082F" w:rsidRPr="0070082F" w:rsidRDefault="0070082F" w:rsidP="0070082F">
      <w:pPr>
        <w:numPr>
          <w:ilvl w:val="0"/>
          <w:numId w:val="6"/>
        </w:numPr>
      </w:pPr>
      <w:r w:rsidRPr="0070082F">
        <w:t>Confidence intervals → clinical meaning</w:t>
      </w:r>
    </w:p>
    <w:p w14:paraId="4E188151" w14:textId="77777777" w:rsidR="0070082F" w:rsidRPr="0070082F" w:rsidRDefault="0070082F" w:rsidP="0070082F">
      <w:pPr>
        <w:numPr>
          <w:ilvl w:val="0"/>
          <w:numId w:val="6"/>
        </w:numPr>
      </w:pPr>
      <w:r w:rsidRPr="0070082F">
        <w:t>Crossing curves and proportional hazards caveats</w:t>
      </w:r>
    </w:p>
    <w:p w14:paraId="1D25E1FC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For binary or continuous endpoints</w:t>
      </w:r>
    </w:p>
    <w:p w14:paraId="515B470E" w14:textId="77777777" w:rsidR="0070082F" w:rsidRPr="0070082F" w:rsidRDefault="0070082F" w:rsidP="0070082F">
      <w:pPr>
        <w:numPr>
          <w:ilvl w:val="0"/>
          <w:numId w:val="7"/>
        </w:numPr>
      </w:pPr>
      <w:r w:rsidRPr="0070082F">
        <w:t>Absolute vs relative risk</w:t>
      </w:r>
    </w:p>
    <w:p w14:paraId="35C1BB01" w14:textId="77777777" w:rsidR="0070082F" w:rsidRPr="0070082F" w:rsidRDefault="0070082F" w:rsidP="0070082F">
      <w:pPr>
        <w:numPr>
          <w:ilvl w:val="0"/>
          <w:numId w:val="7"/>
        </w:numPr>
      </w:pPr>
      <w:r w:rsidRPr="0070082F">
        <w:t>Means vs medians</w:t>
      </w:r>
    </w:p>
    <w:p w14:paraId="642FE3D0" w14:textId="77777777" w:rsidR="0070082F" w:rsidRPr="0070082F" w:rsidRDefault="0070082F" w:rsidP="0070082F">
      <w:pPr>
        <w:numPr>
          <w:ilvl w:val="0"/>
          <w:numId w:val="7"/>
        </w:numPr>
      </w:pPr>
      <w:r w:rsidRPr="0070082F">
        <w:t>MCID (Minimal Clinically Important Difference)</w:t>
      </w:r>
    </w:p>
    <w:p w14:paraId="1C438339" w14:textId="77777777" w:rsidR="0070082F" w:rsidRPr="0070082F" w:rsidRDefault="0070082F" w:rsidP="0070082F">
      <w:r w:rsidRPr="0070082F">
        <w:rPr>
          <w:b/>
          <w:bCs/>
        </w:rPr>
        <w:t>MSL Outputs: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1-line numerical interpretation (e.g., </w:t>
      </w:r>
      <w:r w:rsidRPr="0070082F">
        <w:rPr>
          <w:rFonts w:ascii="Aptos" w:hAnsi="Aptos" w:cs="Aptos"/>
        </w:rPr>
        <w:t>“</w:t>
      </w:r>
      <w:r w:rsidRPr="0070082F">
        <w:t>HR 0.72 indicates a 28% reduction in risk</w:t>
      </w:r>
      <w:r w:rsidRPr="0070082F">
        <w:rPr>
          <w:rFonts w:ascii="Aptos" w:hAnsi="Aptos" w:cs="Aptos"/>
        </w:rPr>
        <w:t>…”</w:t>
      </w:r>
      <w:r w:rsidRPr="0070082F">
        <w:t>)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1</w:t>
      </w:r>
      <w:r w:rsidRPr="0070082F">
        <w:rPr>
          <w:rFonts w:ascii="Aptos" w:hAnsi="Aptos" w:cs="Aptos"/>
        </w:rPr>
        <w:t>–</w:t>
      </w:r>
      <w:r w:rsidRPr="0070082F">
        <w:t>3 sentence clinical implications</w:t>
      </w:r>
    </w:p>
    <w:p w14:paraId="650DE152" w14:textId="77777777" w:rsidR="0070082F" w:rsidRPr="0070082F" w:rsidRDefault="0070082F" w:rsidP="0070082F">
      <w:r w:rsidRPr="0070082F">
        <w:pict w14:anchorId="52F06207">
          <v:rect id="_x0000_i1102" style="width:0;height:1.5pt" o:hralign="center" o:hrstd="t" o:hr="t" fillcolor="#a0a0a0" stroked="f"/>
        </w:pict>
      </w:r>
    </w:p>
    <w:p w14:paraId="6089E8CB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Step 4 — Evaluate Secondary &amp; Subgroup Findings</w:t>
      </w:r>
    </w:p>
    <w:p w14:paraId="25B4A411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Rules for MSLs</w:t>
      </w:r>
    </w:p>
    <w:p w14:paraId="1E06DE5E" w14:textId="77777777" w:rsidR="0070082F" w:rsidRPr="0070082F" w:rsidRDefault="0070082F" w:rsidP="0070082F">
      <w:pPr>
        <w:numPr>
          <w:ilvl w:val="0"/>
          <w:numId w:val="8"/>
        </w:numPr>
      </w:pPr>
      <w:r w:rsidRPr="0070082F">
        <w:t xml:space="preserve">Secondary endpoints support </w:t>
      </w:r>
      <w:r w:rsidRPr="0070082F">
        <w:rPr>
          <w:i/>
          <w:iCs/>
        </w:rPr>
        <w:t>narrative</w:t>
      </w:r>
      <w:r w:rsidRPr="0070082F">
        <w:t>, not proof</w:t>
      </w:r>
    </w:p>
    <w:p w14:paraId="088D8CDA" w14:textId="77777777" w:rsidR="0070082F" w:rsidRPr="0070082F" w:rsidRDefault="0070082F" w:rsidP="0070082F">
      <w:pPr>
        <w:numPr>
          <w:ilvl w:val="0"/>
          <w:numId w:val="8"/>
        </w:numPr>
      </w:pPr>
      <w:r w:rsidRPr="0070082F">
        <w:lastRenderedPageBreak/>
        <w:t>Subgroups = hypothesis-generating</w:t>
      </w:r>
    </w:p>
    <w:p w14:paraId="39612C5C" w14:textId="77777777" w:rsidR="0070082F" w:rsidRPr="0070082F" w:rsidRDefault="0070082F" w:rsidP="0070082F">
      <w:pPr>
        <w:numPr>
          <w:ilvl w:val="0"/>
          <w:numId w:val="8"/>
        </w:numPr>
      </w:pPr>
      <w:r w:rsidRPr="0070082F">
        <w:t>Watch for:</w:t>
      </w:r>
    </w:p>
    <w:p w14:paraId="5FEFA2DB" w14:textId="77777777" w:rsidR="0070082F" w:rsidRPr="0070082F" w:rsidRDefault="0070082F" w:rsidP="0070082F">
      <w:pPr>
        <w:numPr>
          <w:ilvl w:val="1"/>
          <w:numId w:val="8"/>
        </w:numPr>
      </w:pPr>
      <w:r w:rsidRPr="0070082F">
        <w:t>wide CIs</w:t>
      </w:r>
    </w:p>
    <w:p w14:paraId="074798CF" w14:textId="77777777" w:rsidR="0070082F" w:rsidRPr="0070082F" w:rsidRDefault="0070082F" w:rsidP="0070082F">
      <w:pPr>
        <w:numPr>
          <w:ilvl w:val="1"/>
          <w:numId w:val="8"/>
        </w:numPr>
      </w:pPr>
      <w:r w:rsidRPr="0070082F">
        <w:t>small N</w:t>
      </w:r>
    </w:p>
    <w:p w14:paraId="60BDEA3B" w14:textId="77777777" w:rsidR="0070082F" w:rsidRPr="0070082F" w:rsidRDefault="0070082F" w:rsidP="0070082F">
      <w:pPr>
        <w:numPr>
          <w:ilvl w:val="1"/>
          <w:numId w:val="8"/>
        </w:numPr>
      </w:pPr>
      <w:r w:rsidRPr="0070082F">
        <w:t>biological plausibility</w:t>
      </w:r>
    </w:p>
    <w:p w14:paraId="70CFB9A4" w14:textId="77777777" w:rsidR="0070082F" w:rsidRPr="0070082F" w:rsidRDefault="0070082F" w:rsidP="0070082F">
      <w:r w:rsidRPr="0070082F">
        <w:rPr>
          <w:b/>
          <w:bCs/>
        </w:rPr>
        <w:t>MSL Outputs: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Summarize only </w:t>
      </w:r>
      <w:r w:rsidRPr="0070082F">
        <w:rPr>
          <w:i/>
          <w:iCs/>
        </w:rPr>
        <w:t>robust</w:t>
      </w:r>
      <w:r w:rsidRPr="0070082F">
        <w:t xml:space="preserve"> secondary signals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Provide caution language for subgroup results</w:t>
      </w:r>
    </w:p>
    <w:p w14:paraId="6C11AB1B" w14:textId="77777777" w:rsidR="0070082F" w:rsidRPr="0070082F" w:rsidRDefault="0070082F" w:rsidP="0070082F">
      <w:r w:rsidRPr="0070082F">
        <w:pict w14:anchorId="6AED8540">
          <v:rect id="_x0000_i1103" style="width:0;height:1.5pt" o:hralign="center" o:hrstd="t" o:hr="t" fillcolor="#a0a0a0" stroked="f"/>
        </w:pict>
      </w:r>
    </w:p>
    <w:p w14:paraId="7CDE259D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Step 5 — Understand Safety &amp; Tolerability</w:t>
      </w:r>
    </w:p>
    <w:p w14:paraId="7155ED25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Interpretation Focus</w:t>
      </w:r>
    </w:p>
    <w:p w14:paraId="0877A10D" w14:textId="77777777" w:rsidR="0070082F" w:rsidRPr="0070082F" w:rsidRDefault="0070082F" w:rsidP="0070082F">
      <w:pPr>
        <w:numPr>
          <w:ilvl w:val="0"/>
          <w:numId w:val="9"/>
        </w:numPr>
      </w:pPr>
      <w:r w:rsidRPr="0070082F">
        <w:t>AE vs SAE</w:t>
      </w:r>
    </w:p>
    <w:p w14:paraId="706A25E5" w14:textId="77777777" w:rsidR="0070082F" w:rsidRPr="0070082F" w:rsidRDefault="0070082F" w:rsidP="0070082F">
      <w:pPr>
        <w:numPr>
          <w:ilvl w:val="0"/>
          <w:numId w:val="9"/>
        </w:numPr>
      </w:pPr>
      <w:r w:rsidRPr="0070082F">
        <w:t>Exposure-adjusted incidence rates</w:t>
      </w:r>
    </w:p>
    <w:p w14:paraId="333CA88B" w14:textId="77777777" w:rsidR="0070082F" w:rsidRPr="0070082F" w:rsidRDefault="0070082F" w:rsidP="0070082F">
      <w:pPr>
        <w:numPr>
          <w:ilvl w:val="0"/>
          <w:numId w:val="9"/>
        </w:numPr>
      </w:pPr>
      <w:r w:rsidRPr="0070082F">
        <w:t xml:space="preserve">Identifying </w:t>
      </w:r>
      <w:r w:rsidRPr="0070082F">
        <w:rPr>
          <w:i/>
          <w:iCs/>
        </w:rPr>
        <w:t>patterns</w:t>
      </w:r>
      <w:r w:rsidRPr="0070082F">
        <w:t>, not one-off events</w:t>
      </w:r>
    </w:p>
    <w:p w14:paraId="391ABB22" w14:textId="77777777" w:rsidR="0070082F" w:rsidRPr="0070082F" w:rsidRDefault="0070082F" w:rsidP="0070082F">
      <w:pPr>
        <w:numPr>
          <w:ilvl w:val="0"/>
          <w:numId w:val="9"/>
        </w:numPr>
      </w:pPr>
      <w:r w:rsidRPr="0070082F">
        <w:t>Risk–benefit framing</w:t>
      </w:r>
    </w:p>
    <w:p w14:paraId="5189CAA3" w14:textId="77777777" w:rsidR="0070082F" w:rsidRPr="0070082F" w:rsidRDefault="0070082F" w:rsidP="0070082F">
      <w:r w:rsidRPr="0070082F">
        <w:rPr>
          <w:b/>
          <w:bCs/>
        </w:rPr>
        <w:t>MSL Outputs: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Balanced statement of benefits vs risks</w:t>
      </w:r>
      <w:r w:rsidRPr="0070082F">
        <w:br/>
      </w:r>
      <w:r w:rsidRPr="0070082F">
        <w:rPr>
          <w:rFonts w:ascii="Segoe UI Symbol" w:hAnsi="Segoe UI Symbol" w:cs="Segoe UI Symbol"/>
        </w:rPr>
        <w:t>✔</w:t>
      </w:r>
      <w:r w:rsidRPr="0070082F">
        <w:t xml:space="preserve"> Prepared responses to likely HCP questions</w:t>
      </w:r>
    </w:p>
    <w:p w14:paraId="2E2FAD67" w14:textId="77777777" w:rsidR="0070082F" w:rsidRPr="0070082F" w:rsidRDefault="0070082F" w:rsidP="0070082F">
      <w:r w:rsidRPr="0070082F">
        <w:pict w14:anchorId="351DD8DE">
          <v:rect id="_x0000_i1104" style="width:0;height:1.5pt" o:hralign="center" o:hrstd="t" o:hr="t" fillcolor="#a0a0a0" stroked="f"/>
        </w:pict>
      </w:r>
    </w:p>
    <w:p w14:paraId="761C0841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Module 3 — MSL Communication Tools (1 hour)</w:t>
      </w:r>
    </w:p>
    <w:p w14:paraId="2C759C87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1. The 20-Second Interpretation Script</w:t>
      </w:r>
    </w:p>
    <w:p w14:paraId="3702A4B6" w14:textId="77777777" w:rsidR="0070082F" w:rsidRPr="0070082F" w:rsidRDefault="0070082F" w:rsidP="0070082F">
      <w:r w:rsidRPr="0070082F">
        <w:t>A standardized structure for speaking with HCPs:</w:t>
      </w:r>
    </w:p>
    <w:p w14:paraId="7B75A066" w14:textId="77777777" w:rsidR="0070082F" w:rsidRPr="0070082F" w:rsidRDefault="0070082F" w:rsidP="0070082F">
      <w:pPr>
        <w:numPr>
          <w:ilvl w:val="0"/>
          <w:numId w:val="10"/>
        </w:numPr>
      </w:pPr>
      <w:r w:rsidRPr="0070082F">
        <w:rPr>
          <w:b/>
          <w:bCs/>
        </w:rPr>
        <w:t>Trial purpose</w:t>
      </w:r>
    </w:p>
    <w:p w14:paraId="6A97516D" w14:textId="77777777" w:rsidR="0070082F" w:rsidRPr="0070082F" w:rsidRDefault="0070082F" w:rsidP="0070082F">
      <w:pPr>
        <w:numPr>
          <w:ilvl w:val="0"/>
          <w:numId w:val="10"/>
        </w:numPr>
      </w:pPr>
      <w:r w:rsidRPr="0070082F">
        <w:rPr>
          <w:b/>
          <w:bCs/>
        </w:rPr>
        <w:t>Study population</w:t>
      </w:r>
    </w:p>
    <w:p w14:paraId="4A1BC3D9" w14:textId="77777777" w:rsidR="0070082F" w:rsidRPr="0070082F" w:rsidRDefault="0070082F" w:rsidP="0070082F">
      <w:pPr>
        <w:numPr>
          <w:ilvl w:val="0"/>
          <w:numId w:val="10"/>
        </w:numPr>
      </w:pPr>
      <w:r w:rsidRPr="0070082F">
        <w:rPr>
          <w:b/>
          <w:bCs/>
        </w:rPr>
        <w:t>Primary result</w:t>
      </w:r>
      <w:r w:rsidRPr="0070082F">
        <w:t xml:space="preserve"> (stat + clinical meaning)</w:t>
      </w:r>
    </w:p>
    <w:p w14:paraId="26354256" w14:textId="77777777" w:rsidR="0070082F" w:rsidRPr="0070082F" w:rsidRDefault="0070082F" w:rsidP="0070082F">
      <w:pPr>
        <w:numPr>
          <w:ilvl w:val="0"/>
          <w:numId w:val="10"/>
        </w:numPr>
      </w:pPr>
      <w:r w:rsidRPr="0070082F">
        <w:rPr>
          <w:b/>
          <w:bCs/>
        </w:rPr>
        <w:t>Key safety takeaway</w:t>
      </w:r>
    </w:p>
    <w:p w14:paraId="643EA34C" w14:textId="77777777" w:rsidR="0070082F" w:rsidRPr="0070082F" w:rsidRDefault="0070082F" w:rsidP="0070082F">
      <w:pPr>
        <w:numPr>
          <w:ilvl w:val="0"/>
          <w:numId w:val="10"/>
        </w:numPr>
      </w:pPr>
      <w:r w:rsidRPr="0070082F">
        <w:rPr>
          <w:b/>
          <w:bCs/>
        </w:rPr>
        <w:t>Where this fits in practice</w:t>
      </w:r>
    </w:p>
    <w:p w14:paraId="520B9471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2. Avoiding Common Interpretation Pitfalls</w:t>
      </w:r>
    </w:p>
    <w:p w14:paraId="214A9A3B" w14:textId="77777777" w:rsidR="0070082F" w:rsidRPr="0070082F" w:rsidRDefault="0070082F" w:rsidP="0070082F">
      <w:pPr>
        <w:numPr>
          <w:ilvl w:val="0"/>
          <w:numId w:val="11"/>
        </w:numPr>
      </w:pPr>
      <w:r w:rsidRPr="0070082F">
        <w:t>Overemphasis on p-values</w:t>
      </w:r>
    </w:p>
    <w:p w14:paraId="460B817B" w14:textId="77777777" w:rsidR="0070082F" w:rsidRPr="0070082F" w:rsidRDefault="0070082F" w:rsidP="0070082F">
      <w:pPr>
        <w:numPr>
          <w:ilvl w:val="0"/>
          <w:numId w:val="11"/>
        </w:numPr>
      </w:pPr>
      <w:r w:rsidRPr="0070082F">
        <w:lastRenderedPageBreak/>
        <w:t>Confusing OR, RR, and HR</w:t>
      </w:r>
    </w:p>
    <w:p w14:paraId="4273206D" w14:textId="77777777" w:rsidR="0070082F" w:rsidRPr="0070082F" w:rsidRDefault="0070082F" w:rsidP="0070082F">
      <w:pPr>
        <w:numPr>
          <w:ilvl w:val="0"/>
          <w:numId w:val="11"/>
        </w:numPr>
      </w:pPr>
      <w:r w:rsidRPr="0070082F">
        <w:t>Overinterpreting subgroup results</w:t>
      </w:r>
    </w:p>
    <w:p w14:paraId="55AFE025" w14:textId="77777777" w:rsidR="0070082F" w:rsidRPr="0070082F" w:rsidRDefault="0070082F" w:rsidP="0070082F">
      <w:pPr>
        <w:numPr>
          <w:ilvl w:val="0"/>
          <w:numId w:val="11"/>
        </w:numPr>
      </w:pPr>
      <w:r w:rsidRPr="0070082F">
        <w:t>Forgetting absolute risk</w:t>
      </w:r>
    </w:p>
    <w:p w14:paraId="5736D085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3. Handling Challenging Questions</w:t>
      </w:r>
    </w:p>
    <w:p w14:paraId="6CEA596D" w14:textId="77777777" w:rsidR="0070082F" w:rsidRPr="0070082F" w:rsidRDefault="0070082F" w:rsidP="0070082F">
      <w:pPr>
        <w:numPr>
          <w:ilvl w:val="0"/>
          <w:numId w:val="12"/>
        </w:numPr>
      </w:pPr>
      <w:r w:rsidRPr="0070082F">
        <w:t>“Why wasn’t the trial powered for this endpoint?”</w:t>
      </w:r>
    </w:p>
    <w:p w14:paraId="7575A600" w14:textId="77777777" w:rsidR="0070082F" w:rsidRPr="0070082F" w:rsidRDefault="0070082F" w:rsidP="0070082F">
      <w:pPr>
        <w:numPr>
          <w:ilvl w:val="0"/>
          <w:numId w:val="12"/>
        </w:numPr>
      </w:pPr>
      <w:r w:rsidRPr="0070082F">
        <w:t>“Why does this subgroup look worse?”</w:t>
      </w:r>
    </w:p>
    <w:p w14:paraId="3D6E547F" w14:textId="77777777" w:rsidR="0070082F" w:rsidRPr="0070082F" w:rsidRDefault="0070082F" w:rsidP="0070082F">
      <w:pPr>
        <w:numPr>
          <w:ilvl w:val="0"/>
          <w:numId w:val="12"/>
        </w:numPr>
      </w:pPr>
      <w:r w:rsidRPr="0070082F">
        <w:t>“Why is this CI still wide?”</w:t>
      </w:r>
    </w:p>
    <w:p w14:paraId="4CAC67C6" w14:textId="77777777" w:rsidR="0070082F" w:rsidRPr="0070082F" w:rsidRDefault="0070082F" w:rsidP="0070082F">
      <w:r w:rsidRPr="0070082F">
        <w:pict w14:anchorId="551596C9">
          <v:rect id="_x0000_i1105" style="width:0;height:1.5pt" o:hralign="center" o:hrstd="t" o:hr="t" fillcolor="#a0a0a0" stroked="f"/>
        </w:pict>
      </w:r>
    </w:p>
    <w:p w14:paraId="0D15F664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Module 4 — Rapid Interpretation Practice (1.5 hours)</w:t>
      </w:r>
    </w:p>
    <w:p w14:paraId="1E9A1D8B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Case 1: Oncology PFS Trial</w:t>
      </w:r>
    </w:p>
    <w:p w14:paraId="196C0E5A" w14:textId="77777777" w:rsidR="0070082F" w:rsidRPr="0070082F" w:rsidRDefault="0070082F" w:rsidP="0070082F">
      <w:pPr>
        <w:numPr>
          <w:ilvl w:val="0"/>
          <w:numId w:val="13"/>
        </w:numPr>
      </w:pPr>
      <w:r w:rsidRPr="0070082F">
        <w:t>Interpret HR</w:t>
      </w:r>
    </w:p>
    <w:p w14:paraId="616F56A7" w14:textId="77777777" w:rsidR="0070082F" w:rsidRPr="0070082F" w:rsidRDefault="0070082F" w:rsidP="0070082F">
      <w:pPr>
        <w:numPr>
          <w:ilvl w:val="0"/>
          <w:numId w:val="13"/>
        </w:numPr>
      </w:pPr>
      <w:r w:rsidRPr="0070082F">
        <w:t>Explain median mismatch</w:t>
      </w:r>
    </w:p>
    <w:p w14:paraId="075C3B35" w14:textId="77777777" w:rsidR="0070082F" w:rsidRPr="0070082F" w:rsidRDefault="0070082F" w:rsidP="0070082F">
      <w:pPr>
        <w:numPr>
          <w:ilvl w:val="0"/>
          <w:numId w:val="13"/>
        </w:numPr>
      </w:pPr>
      <w:r w:rsidRPr="0070082F">
        <w:t>Communicate implications to HCPs</w:t>
      </w:r>
    </w:p>
    <w:p w14:paraId="7858215D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Case 2: Non-Inferiority Antibiotic Trial</w:t>
      </w:r>
    </w:p>
    <w:p w14:paraId="6804E711" w14:textId="77777777" w:rsidR="0070082F" w:rsidRPr="0070082F" w:rsidRDefault="0070082F" w:rsidP="0070082F">
      <w:pPr>
        <w:numPr>
          <w:ilvl w:val="0"/>
          <w:numId w:val="14"/>
        </w:numPr>
      </w:pPr>
      <w:r w:rsidRPr="0070082F">
        <w:t>Identify NI margin</w:t>
      </w:r>
    </w:p>
    <w:p w14:paraId="1F2161CD" w14:textId="77777777" w:rsidR="0070082F" w:rsidRPr="0070082F" w:rsidRDefault="0070082F" w:rsidP="0070082F">
      <w:pPr>
        <w:numPr>
          <w:ilvl w:val="0"/>
          <w:numId w:val="14"/>
        </w:numPr>
      </w:pPr>
      <w:r w:rsidRPr="0070082F">
        <w:t>Explain why NI was or wasn’t met</w:t>
      </w:r>
    </w:p>
    <w:p w14:paraId="5EB1BB28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Case 3: CV Outcomes Safety Trial</w:t>
      </w:r>
    </w:p>
    <w:p w14:paraId="6365C485" w14:textId="77777777" w:rsidR="0070082F" w:rsidRPr="0070082F" w:rsidRDefault="0070082F" w:rsidP="0070082F">
      <w:pPr>
        <w:numPr>
          <w:ilvl w:val="0"/>
          <w:numId w:val="15"/>
        </w:numPr>
      </w:pPr>
      <w:r w:rsidRPr="0070082F">
        <w:t>Interpret neutral HR</w:t>
      </w:r>
    </w:p>
    <w:p w14:paraId="52311E19" w14:textId="77777777" w:rsidR="0070082F" w:rsidRPr="0070082F" w:rsidRDefault="0070082F" w:rsidP="0070082F">
      <w:pPr>
        <w:numPr>
          <w:ilvl w:val="0"/>
          <w:numId w:val="15"/>
        </w:numPr>
      </w:pPr>
      <w:r w:rsidRPr="0070082F">
        <w:t>Discuss regulatory expectations for safety</w:t>
      </w:r>
    </w:p>
    <w:p w14:paraId="415C819E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Case 4: Subgroup Forest Plot Challenge</w:t>
      </w:r>
    </w:p>
    <w:p w14:paraId="14E570C1" w14:textId="77777777" w:rsidR="0070082F" w:rsidRPr="0070082F" w:rsidRDefault="0070082F" w:rsidP="0070082F">
      <w:pPr>
        <w:numPr>
          <w:ilvl w:val="0"/>
          <w:numId w:val="16"/>
        </w:numPr>
      </w:pPr>
      <w:r w:rsidRPr="0070082F">
        <w:t>Identify patterns vs noise</w:t>
      </w:r>
    </w:p>
    <w:p w14:paraId="4123543C" w14:textId="77777777" w:rsidR="0070082F" w:rsidRPr="0070082F" w:rsidRDefault="0070082F" w:rsidP="0070082F">
      <w:pPr>
        <w:numPr>
          <w:ilvl w:val="0"/>
          <w:numId w:val="16"/>
        </w:numPr>
      </w:pPr>
      <w:r w:rsidRPr="0070082F">
        <w:t>Practice cautious wording</w:t>
      </w:r>
    </w:p>
    <w:p w14:paraId="03635D83" w14:textId="77777777" w:rsidR="0070082F" w:rsidRPr="0070082F" w:rsidRDefault="0070082F" w:rsidP="0070082F">
      <w:r w:rsidRPr="0070082F">
        <w:pict w14:anchorId="38468A91">
          <v:rect id="_x0000_i1106" style="width:0;height:1.5pt" o:hralign="center" o:hrstd="t" o:hr="t" fillcolor="#a0a0a0" stroked="f"/>
        </w:pict>
      </w:r>
    </w:p>
    <w:p w14:paraId="16072AA8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Module 5 — Field Deployment Tools (30 min)</w:t>
      </w:r>
    </w:p>
    <w:p w14:paraId="2BFC2E1F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MSL Quick Reference Cards</w:t>
      </w:r>
    </w:p>
    <w:p w14:paraId="048232DB" w14:textId="77777777" w:rsidR="0070082F" w:rsidRPr="0070082F" w:rsidRDefault="0070082F" w:rsidP="0070082F">
      <w:pPr>
        <w:numPr>
          <w:ilvl w:val="0"/>
          <w:numId w:val="17"/>
        </w:numPr>
      </w:pPr>
      <w:r w:rsidRPr="0070082F">
        <w:t>How to read KM curves</w:t>
      </w:r>
    </w:p>
    <w:p w14:paraId="11E5BC00" w14:textId="77777777" w:rsidR="0070082F" w:rsidRPr="0070082F" w:rsidRDefault="0070082F" w:rsidP="0070082F">
      <w:pPr>
        <w:numPr>
          <w:ilvl w:val="0"/>
          <w:numId w:val="17"/>
        </w:numPr>
      </w:pPr>
      <w:r w:rsidRPr="0070082F">
        <w:t>Effect size cheat sheet</w:t>
      </w:r>
    </w:p>
    <w:p w14:paraId="356A0792" w14:textId="77777777" w:rsidR="0070082F" w:rsidRPr="0070082F" w:rsidRDefault="0070082F" w:rsidP="0070082F">
      <w:pPr>
        <w:numPr>
          <w:ilvl w:val="0"/>
          <w:numId w:val="17"/>
        </w:numPr>
      </w:pPr>
      <w:r w:rsidRPr="0070082F">
        <w:t>Risk vs risk reduction guide</w:t>
      </w:r>
    </w:p>
    <w:p w14:paraId="3FB12F06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lastRenderedPageBreak/>
        <w:t>Clinical Storytelling Templates</w:t>
      </w:r>
    </w:p>
    <w:p w14:paraId="0B65E1DC" w14:textId="77777777" w:rsidR="0070082F" w:rsidRPr="0070082F" w:rsidRDefault="0070082F" w:rsidP="0070082F">
      <w:pPr>
        <w:numPr>
          <w:ilvl w:val="0"/>
          <w:numId w:val="18"/>
        </w:numPr>
      </w:pPr>
      <w:r w:rsidRPr="0070082F">
        <w:t>5-sentence summary template</w:t>
      </w:r>
    </w:p>
    <w:p w14:paraId="5E965EE1" w14:textId="77777777" w:rsidR="0070082F" w:rsidRPr="0070082F" w:rsidRDefault="0070082F" w:rsidP="0070082F">
      <w:pPr>
        <w:numPr>
          <w:ilvl w:val="0"/>
          <w:numId w:val="18"/>
        </w:numPr>
      </w:pPr>
      <w:r w:rsidRPr="0070082F">
        <w:t>Data-to-clinical relevance converter</w:t>
      </w:r>
    </w:p>
    <w:p w14:paraId="49C2D327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Compliance Considerations</w:t>
      </w:r>
    </w:p>
    <w:p w14:paraId="522B4AD8" w14:textId="77777777" w:rsidR="0070082F" w:rsidRPr="0070082F" w:rsidRDefault="0070082F" w:rsidP="0070082F">
      <w:pPr>
        <w:numPr>
          <w:ilvl w:val="0"/>
          <w:numId w:val="19"/>
        </w:numPr>
      </w:pPr>
      <w:r w:rsidRPr="0070082F">
        <w:t>Staying non-promotional</w:t>
      </w:r>
    </w:p>
    <w:p w14:paraId="61E32BD7" w14:textId="77777777" w:rsidR="0070082F" w:rsidRPr="0070082F" w:rsidRDefault="0070082F" w:rsidP="0070082F">
      <w:pPr>
        <w:numPr>
          <w:ilvl w:val="0"/>
          <w:numId w:val="19"/>
        </w:numPr>
      </w:pPr>
      <w:r w:rsidRPr="0070082F">
        <w:t>Permissible vs impermissible interpretations</w:t>
      </w:r>
    </w:p>
    <w:p w14:paraId="6315BC1B" w14:textId="77777777" w:rsidR="0070082F" w:rsidRPr="0070082F" w:rsidRDefault="0070082F" w:rsidP="0070082F">
      <w:r w:rsidRPr="0070082F">
        <w:pict w14:anchorId="053EA596">
          <v:rect id="_x0000_i1107" style="width:0;height:1.5pt" o:hralign="center" o:hrstd="t" o:hr="t" fillcolor="#a0a0a0" stroked="f"/>
        </w:pict>
      </w:r>
    </w:p>
    <w:p w14:paraId="53DE5251" w14:textId="77777777" w:rsidR="0070082F" w:rsidRPr="0070082F" w:rsidRDefault="0070082F" w:rsidP="0070082F">
      <w:pPr>
        <w:rPr>
          <w:b/>
          <w:bCs/>
        </w:rPr>
      </w:pPr>
      <w:r w:rsidRPr="0070082F">
        <w:rPr>
          <w:b/>
          <w:bCs/>
        </w:rPr>
        <w:t>Deliverables Included</w:t>
      </w:r>
    </w:p>
    <w:p w14:paraId="1308C698" w14:textId="77777777" w:rsidR="0070082F" w:rsidRPr="0070082F" w:rsidRDefault="0070082F" w:rsidP="0070082F">
      <w:r w:rsidRPr="0070082F">
        <w:t>If you'd like, I can produce:</w:t>
      </w:r>
      <w:r w:rsidRPr="0070082F">
        <w:br/>
      </w:r>
      <w:r w:rsidRPr="0070082F">
        <w:rPr>
          <w:rFonts w:ascii="Segoe UI Emoji" w:hAnsi="Segoe UI Emoji" w:cs="Segoe UI Emoji"/>
        </w:rPr>
        <w:t>📘</w:t>
      </w:r>
      <w:r w:rsidRPr="0070082F">
        <w:t xml:space="preserve"> Participant workbook version</w:t>
      </w:r>
      <w:r w:rsidRPr="0070082F">
        <w:br/>
      </w:r>
      <w:r w:rsidRPr="0070082F">
        <w:rPr>
          <w:rFonts w:ascii="Segoe UI Emoji" w:hAnsi="Segoe UI Emoji" w:cs="Segoe UI Emoji"/>
        </w:rPr>
        <w:t>📊</w:t>
      </w:r>
      <w:r w:rsidRPr="0070082F">
        <w:t xml:space="preserve"> Slide deck for all modules</w:t>
      </w:r>
      <w:r w:rsidRPr="0070082F">
        <w:br/>
      </w:r>
      <w:r w:rsidRPr="0070082F">
        <w:rPr>
          <w:rFonts w:ascii="Segoe UI Emoji" w:hAnsi="Segoe UI Emoji" w:cs="Segoe UI Emoji"/>
        </w:rPr>
        <w:t>📄</w:t>
      </w:r>
      <w:r w:rsidRPr="0070082F">
        <w:t xml:space="preserve"> One-page handouts and cheat sheets</w:t>
      </w:r>
      <w:r w:rsidRPr="0070082F">
        <w:br/>
      </w:r>
      <w:r w:rsidRPr="0070082F">
        <w:rPr>
          <w:rFonts w:ascii="Segoe UI Emoji" w:hAnsi="Segoe UI Emoji" w:cs="Segoe UI Emoji"/>
        </w:rPr>
        <w:t>🧪</w:t>
      </w:r>
      <w:r w:rsidRPr="0070082F">
        <w:t xml:space="preserve"> 10–20 short practice exercises for MSL coaching</w:t>
      </w:r>
    </w:p>
    <w:p w14:paraId="52B76E8A" w14:textId="77777777" w:rsidR="0070082F" w:rsidRPr="0070082F" w:rsidRDefault="0070082F" w:rsidP="0070082F">
      <w:r w:rsidRPr="0070082F">
        <w:pict w14:anchorId="4F6314DA">
          <v:rect id="_x0000_i1108" style="width:0;height:1.5pt" o:hralign="center" o:hrstd="t" o:hr="t" fillcolor="#a0a0a0" stroked="f"/>
        </w:pict>
      </w:r>
    </w:p>
    <w:p w14:paraId="62187C3F" w14:textId="77777777" w:rsidR="0070082F" w:rsidRPr="0070082F" w:rsidRDefault="0070082F" w:rsidP="0070082F">
      <w:r w:rsidRPr="0070082F">
        <w:t xml:space="preserve">If you want, I can now </w:t>
      </w:r>
      <w:r w:rsidRPr="0070082F">
        <w:rPr>
          <w:b/>
          <w:bCs/>
        </w:rPr>
        <w:t>generate the slide deck</w:t>
      </w:r>
      <w:r w:rsidRPr="0070082F">
        <w:t xml:space="preserve">, </w:t>
      </w:r>
      <w:r w:rsidRPr="0070082F">
        <w:rPr>
          <w:b/>
          <w:bCs/>
        </w:rPr>
        <w:t>create a printable workbook</w:t>
      </w:r>
      <w:r w:rsidRPr="0070082F">
        <w:t xml:space="preserve">, or </w:t>
      </w:r>
      <w:r w:rsidRPr="0070082F">
        <w:rPr>
          <w:b/>
          <w:bCs/>
        </w:rPr>
        <w:t>expand this into a half-day/one-day training program</w:t>
      </w:r>
      <w:r w:rsidRPr="0070082F">
        <w:t>.</w:t>
      </w:r>
    </w:p>
    <w:p w14:paraId="4D946F1D" w14:textId="77777777" w:rsidR="007852C2" w:rsidRDefault="007852C2"/>
    <w:sectPr w:rsidR="0078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0C2"/>
    <w:multiLevelType w:val="multilevel"/>
    <w:tmpl w:val="D20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50A"/>
    <w:multiLevelType w:val="multilevel"/>
    <w:tmpl w:val="F0A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0E8"/>
    <w:multiLevelType w:val="multilevel"/>
    <w:tmpl w:val="3DB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603AC"/>
    <w:multiLevelType w:val="multilevel"/>
    <w:tmpl w:val="2B7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95C18"/>
    <w:multiLevelType w:val="multilevel"/>
    <w:tmpl w:val="95D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0533"/>
    <w:multiLevelType w:val="multilevel"/>
    <w:tmpl w:val="4B0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6DD0"/>
    <w:multiLevelType w:val="multilevel"/>
    <w:tmpl w:val="0DD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16350"/>
    <w:multiLevelType w:val="multilevel"/>
    <w:tmpl w:val="63D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37B36"/>
    <w:multiLevelType w:val="multilevel"/>
    <w:tmpl w:val="4E0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24AF6"/>
    <w:multiLevelType w:val="multilevel"/>
    <w:tmpl w:val="E45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F423E"/>
    <w:multiLevelType w:val="multilevel"/>
    <w:tmpl w:val="F20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2196"/>
    <w:multiLevelType w:val="multilevel"/>
    <w:tmpl w:val="43C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92078"/>
    <w:multiLevelType w:val="multilevel"/>
    <w:tmpl w:val="8EC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9675A"/>
    <w:multiLevelType w:val="multilevel"/>
    <w:tmpl w:val="841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95A68"/>
    <w:multiLevelType w:val="multilevel"/>
    <w:tmpl w:val="2F52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400B8"/>
    <w:multiLevelType w:val="multilevel"/>
    <w:tmpl w:val="6D9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26266"/>
    <w:multiLevelType w:val="multilevel"/>
    <w:tmpl w:val="64E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B2AF0"/>
    <w:multiLevelType w:val="multilevel"/>
    <w:tmpl w:val="FC1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30055"/>
    <w:multiLevelType w:val="multilevel"/>
    <w:tmpl w:val="F686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457754">
    <w:abstractNumId w:val="12"/>
  </w:num>
  <w:num w:numId="2" w16cid:durableId="265694583">
    <w:abstractNumId w:val="14"/>
  </w:num>
  <w:num w:numId="3" w16cid:durableId="1779330823">
    <w:abstractNumId w:val="17"/>
  </w:num>
  <w:num w:numId="4" w16cid:durableId="267658667">
    <w:abstractNumId w:val="6"/>
  </w:num>
  <w:num w:numId="5" w16cid:durableId="1043554027">
    <w:abstractNumId w:val="10"/>
  </w:num>
  <w:num w:numId="6" w16cid:durableId="119038250">
    <w:abstractNumId w:val="5"/>
  </w:num>
  <w:num w:numId="7" w16cid:durableId="749742198">
    <w:abstractNumId w:val="11"/>
  </w:num>
  <w:num w:numId="8" w16cid:durableId="2062287699">
    <w:abstractNumId w:val="0"/>
  </w:num>
  <w:num w:numId="9" w16cid:durableId="1889679529">
    <w:abstractNumId w:val="9"/>
  </w:num>
  <w:num w:numId="10" w16cid:durableId="638265653">
    <w:abstractNumId w:val="18"/>
  </w:num>
  <w:num w:numId="11" w16cid:durableId="576086775">
    <w:abstractNumId w:val="4"/>
  </w:num>
  <w:num w:numId="12" w16cid:durableId="1733499338">
    <w:abstractNumId w:val="16"/>
  </w:num>
  <w:num w:numId="13" w16cid:durableId="1837305420">
    <w:abstractNumId w:val="1"/>
  </w:num>
  <w:num w:numId="14" w16cid:durableId="836530280">
    <w:abstractNumId w:val="8"/>
  </w:num>
  <w:num w:numId="15" w16cid:durableId="1608460686">
    <w:abstractNumId w:val="3"/>
  </w:num>
  <w:num w:numId="16" w16cid:durableId="723911909">
    <w:abstractNumId w:val="13"/>
  </w:num>
  <w:num w:numId="17" w16cid:durableId="1786732604">
    <w:abstractNumId w:val="15"/>
  </w:num>
  <w:num w:numId="18" w16cid:durableId="55711128">
    <w:abstractNumId w:val="7"/>
  </w:num>
  <w:num w:numId="19" w16cid:durableId="193674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2F"/>
    <w:rsid w:val="00646F76"/>
    <w:rsid w:val="0070082F"/>
    <w:rsid w:val="007852C2"/>
    <w:rsid w:val="00D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69FB"/>
  <w15:chartTrackingRefBased/>
  <w15:docId w15:val="{F3DFA592-94A1-49F3-9CFA-90A8C0C9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Mallett</dc:creator>
  <cp:keywords/>
  <dc:description/>
  <cp:lastModifiedBy>Steve Mallett</cp:lastModifiedBy>
  <cp:revision>1</cp:revision>
  <dcterms:created xsi:type="dcterms:W3CDTF">2025-11-27T15:07:00Z</dcterms:created>
  <dcterms:modified xsi:type="dcterms:W3CDTF">2025-11-27T15:07:00Z</dcterms:modified>
</cp:coreProperties>
</file>