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1F35" w14:textId="77777777" w:rsidR="001B1CD7" w:rsidRPr="001B1CD7" w:rsidRDefault="001B1CD7" w:rsidP="001B1CD7">
      <w:r w:rsidRPr="001B1CD7">
        <w:t xml:space="preserve">For </w:t>
      </w:r>
      <w:r w:rsidRPr="001B1CD7">
        <w:rPr>
          <w:b/>
          <w:bCs/>
        </w:rPr>
        <w:t>Medical Affairs (MA) teams</w:t>
      </w:r>
      <w:r w:rsidRPr="001B1CD7">
        <w:t xml:space="preserve">, statistics often becomes a “pinch point” because they must </w:t>
      </w:r>
      <w:r w:rsidRPr="001B1CD7">
        <w:rPr>
          <w:b/>
          <w:bCs/>
        </w:rPr>
        <w:t>interpret, communicate, and defend complex trial data</w:t>
      </w:r>
      <w:r w:rsidRPr="001B1CD7">
        <w:t xml:space="preserve"> without necessarily having a deep statistical background. Based on experience in pharma, here are the </w:t>
      </w:r>
      <w:r w:rsidRPr="001B1CD7">
        <w:rPr>
          <w:b/>
          <w:bCs/>
        </w:rPr>
        <w:t>main pinch points</w:t>
      </w:r>
      <w:r w:rsidRPr="001B1CD7">
        <w:t xml:space="preserve"> and why they matter:</w:t>
      </w:r>
    </w:p>
    <w:p w14:paraId="3F433295" w14:textId="77777777" w:rsidR="001B1CD7" w:rsidRPr="001B1CD7" w:rsidRDefault="001B1CD7" w:rsidP="001B1CD7">
      <w:r w:rsidRPr="001B1CD7">
        <w:pict w14:anchorId="6AB411DA">
          <v:rect id="_x0000_i1091" style="width:0;height:1.5pt" o:hralign="center" o:hrstd="t" o:hr="t" fillcolor="#a0a0a0" stroked="f"/>
        </w:pict>
      </w:r>
    </w:p>
    <w:p w14:paraId="0FF86190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1. Misinterpretation of p-values</w:t>
      </w:r>
    </w:p>
    <w:p w14:paraId="46C38636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5600A899" w14:textId="77777777" w:rsidR="001B1CD7" w:rsidRPr="001B1CD7" w:rsidRDefault="001B1CD7" w:rsidP="001B1CD7">
      <w:pPr>
        <w:numPr>
          <w:ilvl w:val="0"/>
          <w:numId w:val="1"/>
        </w:numPr>
      </w:pPr>
      <w:r w:rsidRPr="001B1CD7">
        <w:t xml:space="preserve">Many MA professionals see p&lt;0.05 as a “gold standard” of clinical relevance, but it only indicates </w:t>
      </w:r>
      <w:r w:rsidRPr="001B1CD7">
        <w:rPr>
          <w:b/>
          <w:bCs/>
        </w:rPr>
        <w:t>statistical significance</w:t>
      </w:r>
      <w:r w:rsidRPr="001B1CD7">
        <w:t>, not clinical importance.</w:t>
      </w:r>
    </w:p>
    <w:p w14:paraId="7250CD65" w14:textId="77777777" w:rsidR="001B1CD7" w:rsidRPr="001B1CD7" w:rsidRDefault="001B1CD7" w:rsidP="001B1CD7">
      <w:pPr>
        <w:numPr>
          <w:ilvl w:val="0"/>
          <w:numId w:val="1"/>
        </w:numPr>
      </w:pPr>
      <w:r w:rsidRPr="001B1CD7">
        <w:t>Misinterpreting non-significant trends can lead to misleading HCP discussions.</w:t>
      </w:r>
    </w:p>
    <w:p w14:paraId="20E49766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7C90F9B2" w14:textId="77777777" w:rsidR="001B1CD7" w:rsidRPr="001B1CD7" w:rsidRDefault="001B1CD7" w:rsidP="001B1CD7">
      <w:pPr>
        <w:numPr>
          <w:ilvl w:val="0"/>
          <w:numId w:val="2"/>
        </w:numPr>
      </w:pPr>
      <w:r w:rsidRPr="001B1CD7">
        <w:t>Risk of overstating efficacy</w:t>
      </w:r>
    </w:p>
    <w:p w14:paraId="60C8131B" w14:textId="77777777" w:rsidR="001B1CD7" w:rsidRPr="001B1CD7" w:rsidRDefault="001B1CD7" w:rsidP="001B1CD7">
      <w:pPr>
        <w:numPr>
          <w:ilvl w:val="0"/>
          <w:numId w:val="2"/>
        </w:numPr>
      </w:pPr>
      <w:r w:rsidRPr="001B1CD7">
        <w:t>Miscommunication in medical meetings</w:t>
      </w:r>
    </w:p>
    <w:p w14:paraId="7691CCF2" w14:textId="77777777" w:rsidR="001B1CD7" w:rsidRPr="001B1CD7" w:rsidRDefault="001B1CD7" w:rsidP="001B1CD7">
      <w:r w:rsidRPr="001B1CD7">
        <w:rPr>
          <w:b/>
          <w:bCs/>
        </w:rPr>
        <w:t>Example:</w:t>
      </w:r>
    </w:p>
    <w:p w14:paraId="52704D75" w14:textId="77777777" w:rsidR="001B1CD7" w:rsidRPr="001B1CD7" w:rsidRDefault="001B1CD7" w:rsidP="001B1CD7">
      <w:pPr>
        <w:numPr>
          <w:ilvl w:val="0"/>
          <w:numId w:val="3"/>
        </w:numPr>
      </w:pPr>
      <w:r w:rsidRPr="001B1CD7">
        <w:t>“p=0.06 means the drug doesn’t work” → incorrect; may still have meaningful effect size</w:t>
      </w:r>
    </w:p>
    <w:p w14:paraId="395870EC" w14:textId="77777777" w:rsidR="001B1CD7" w:rsidRPr="001B1CD7" w:rsidRDefault="001B1CD7" w:rsidP="001B1CD7">
      <w:r w:rsidRPr="001B1CD7">
        <w:pict w14:anchorId="191DC691">
          <v:rect id="_x0000_i1092" style="width:0;height:1.5pt" o:hralign="center" o:hrstd="t" o:hr="t" fillcolor="#a0a0a0" stroked="f"/>
        </w:pict>
      </w:r>
    </w:p>
    <w:p w14:paraId="10F0EB66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2. Confusion between absolute and relative risk</w:t>
      </w:r>
    </w:p>
    <w:p w14:paraId="05835D7C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1BA5FEB8" w14:textId="77777777" w:rsidR="001B1CD7" w:rsidRPr="001B1CD7" w:rsidRDefault="001B1CD7" w:rsidP="001B1CD7">
      <w:pPr>
        <w:numPr>
          <w:ilvl w:val="0"/>
          <w:numId w:val="4"/>
        </w:numPr>
      </w:pPr>
      <w:r w:rsidRPr="001B1CD7">
        <w:t>Relative risk reductions (RRR) sound impressive but can exaggerate perceived benefit</w:t>
      </w:r>
    </w:p>
    <w:p w14:paraId="4A2993D0" w14:textId="77777777" w:rsidR="001B1CD7" w:rsidRPr="001B1CD7" w:rsidRDefault="001B1CD7" w:rsidP="001B1CD7">
      <w:pPr>
        <w:numPr>
          <w:ilvl w:val="0"/>
          <w:numId w:val="4"/>
        </w:numPr>
      </w:pPr>
      <w:r w:rsidRPr="001B1CD7">
        <w:t>Absolute risk reduction (ARR) is often smaller and more clinically meaningful</w:t>
      </w:r>
    </w:p>
    <w:p w14:paraId="38186A87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1BBBA053" w14:textId="77777777" w:rsidR="001B1CD7" w:rsidRPr="001B1CD7" w:rsidRDefault="001B1CD7" w:rsidP="001B1CD7">
      <w:pPr>
        <w:numPr>
          <w:ilvl w:val="0"/>
          <w:numId w:val="5"/>
        </w:numPr>
      </w:pPr>
      <w:r w:rsidRPr="001B1CD7">
        <w:t>Misleading HCP communications</w:t>
      </w:r>
    </w:p>
    <w:p w14:paraId="08025D7B" w14:textId="77777777" w:rsidR="001B1CD7" w:rsidRPr="001B1CD7" w:rsidRDefault="001B1CD7" w:rsidP="001B1CD7">
      <w:pPr>
        <w:numPr>
          <w:ilvl w:val="0"/>
          <w:numId w:val="5"/>
        </w:numPr>
      </w:pPr>
      <w:r w:rsidRPr="001B1CD7">
        <w:t>Overestimating treatment impact in safety/efficacy discussions</w:t>
      </w:r>
    </w:p>
    <w:p w14:paraId="5DC8FC8B" w14:textId="77777777" w:rsidR="001B1CD7" w:rsidRPr="001B1CD7" w:rsidRDefault="001B1CD7" w:rsidP="001B1CD7">
      <w:r w:rsidRPr="001B1CD7">
        <w:pict w14:anchorId="26577182">
          <v:rect id="_x0000_i1093" style="width:0;height:1.5pt" o:hralign="center" o:hrstd="t" o:hr="t" fillcolor="#a0a0a0" stroked="f"/>
        </w:pict>
      </w:r>
    </w:p>
    <w:p w14:paraId="028D3791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3. Difficulty interpreting time-to-event data</w:t>
      </w:r>
    </w:p>
    <w:p w14:paraId="7E996BB2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5EC58A72" w14:textId="77777777" w:rsidR="001B1CD7" w:rsidRPr="001B1CD7" w:rsidRDefault="001B1CD7" w:rsidP="001B1CD7">
      <w:pPr>
        <w:numPr>
          <w:ilvl w:val="0"/>
          <w:numId w:val="6"/>
        </w:numPr>
      </w:pPr>
      <w:r w:rsidRPr="001B1CD7">
        <w:t>Kaplan–Meier curves, hazard ratios, and median survival require careful interpretation</w:t>
      </w:r>
    </w:p>
    <w:p w14:paraId="5B5D0EDB" w14:textId="77777777" w:rsidR="001B1CD7" w:rsidRPr="001B1CD7" w:rsidRDefault="001B1CD7" w:rsidP="001B1CD7">
      <w:pPr>
        <w:numPr>
          <w:ilvl w:val="0"/>
          <w:numId w:val="6"/>
        </w:numPr>
      </w:pPr>
      <w:r w:rsidRPr="001B1CD7">
        <w:lastRenderedPageBreak/>
        <w:t>Censoring and proportional hazards assumptions are rarely intuitive</w:t>
      </w:r>
    </w:p>
    <w:p w14:paraId="1C0FC06D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2355D969" w14:textId="77777777" w:rsidR="001B1CD7" w:rsidRPr="001B1CD7" w:rsidRDefault="001B1CD7" w:rsidP="001B1CD7">
      <w:pPr>
        <w:numPr>
          <w:ilvl w:val="0"/>
          <w:numId w:val="7"/>
        </w:numPr>
      </w:pPr>
      <w:r w:rsidRPr="001B1CD7">
        <w:t>Misrepresentation of trial outcomes</w:t>
      </w:r>
    </w:p>
    <w:p w14:paraId="2F825362" w14:textId="77777777" w:rsidR="001B1CD7" w:rsidRPr="001B1CD7" w:rsidRDefault="001B1CD7" w:rsidP="001B1CD7">
      <w:pPr>
        <w:numPr>
          <w:ilvl w:val="0"/>
          <w:numId w:val="7"/>
        </w:numPr>
      </w:pPr>
      <w:r w:rsidRPr="001B1CD7">
        <w:t>Confusion in cross-trial comparisons</w:t>
      </w:r>
    </w:p>
    <w:p w14:paraId="35C59FF5" w14:textId="77777777" w:rsidR="001B1CD7" w:rsidRPr="001B1CD7" w:rsidRDefault="001B1CD7" w:rsidP="001B1CD7">
      <w:r w:rsidRPr="001B1CD7">
        <w:pict w14:anchorId="03AA50FC">
          <v:rect id="_x0000_i1094" style="width:0;height:1.5pt" o:hralign="center" o:hrstd="t" o:hr="t" fillcolor="#a0a0a0" stroked="f"/>
        </w:pict>
      </w:r>
    </w:p>
    <w:p w14:paraId="79964D2C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4. Subgroup analysis and multiplicity</w:t>
      </w:r>
    </w:p>
    <w:p w14:paraId="161B82A7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38700946" w14:textId="77777777" w:rsidR="001B1CD7" w:rsidRPr="001B1CD7" w:rsidRDefault="001B1CD7" w:rsidP="001B1CD7">
      <w:pPr>
        <w:numPr>
          <w:ilvl w:val="0"/>
          <w:numId w:val="8"/>
        </w:numPr>
      </w:pPr>
      <w:r w:rsidRPr="001B1CD7">
        <w:t>Subgroup results are often exploratory, not powered to show definitive conclusions</w:t>
      </w:r>
    </w:p>
    <w:p w14:paraId="3D209CA5" w14:textId="77777777" w:rsidR="001B1CD7" w:rsidRPr="001B1CD7" w:rsidRDefault="001B1CD7" w:rsidP="001B1CD7">
      <w:pPr>
        <w:numPr>
          <w:ilvl w:val="0"/>
          <w:numId w:val="8"/>
        </w:numPr>
      </w:pPr>
      <w:r w:rsidRPr="001B1CD7">
        <w:t>MA teams may treat them as conclusive</w:t>
      </w:r>
    </w:p>
    <w:p w14:paraId="27263418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7FA94180" w14:textId="77777777" w:rsidR="001B1CD7" w:rsidRPr="001B1CD7" w:rsidRDefault="001B1CD7" w:rsidP="001B1CD7">
      <w:pPr>
        <w:numPr>
          <w:ilvl w:val="0"/>
          <w:numId w:val="9"/>
        </w:numPr>
      </w:pPr>
      <w:r w:rsidRPr="001B1CD7">
        <w:t>Overinterpretation can lead to regulatory or compliance issues</w:t>
      </w:r>
    </w:p>
    <w:p w14:paraId="1B42C1F7" w14:textId="77777777" w:rsidR="001B1CD7" w:rsidRPr="001B1CD7" w:rsidRDefault="001B1CD7" w:rsidP="001B1CD7">
      <w:pPr>
        <w:numPr>
          <w:ilvl w:val="0"/>
          <w:numId w:val="9"/>
        </w:numPr>
      </w:pPr>
      <w:r w:rsidRPr="001B1CD7">
        <w:t>Miscommunication to HCPs about who will benefit most</w:t>
      </w:r>
    </w:p>
    <w:p w14:paraId="6B17DAF3" w14:textId="77777777" w:rsidR="001B1CD7" w:rsidRPr="001B1CD7" w:rsidRDefault="001B1CD7" w:rsidP="001B1CD7">
      <w:r w:rsidRPr="001B1CD7">
        <w:pict w14:anchorId="37F19556">
          <v:rect id="_x0000_i1095" style="width:0;height:1.5pt" o:hralign="center" o:hrstd="t" o:hr="t" fillcolor="#a0a0a0" stroked="f"/>
        </w:pict>
      </w:r>
    </w:p>
    <w:p w14:paraId="0D377B4A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5. Understanding confidence intervals</w:t>
      </w:r>
    </w:p>
    <w:p w14:paraId="248185A6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17F0FAE3" w14:textId="77777777" w:rsidR="001B1CD7" w:rsidRPr="001B1CD7" w:rsidRDefault="001B1CD7" w:rsidP="001B1CD7">
      <w:pPr>
        <w:numPr>
          <w:ilvl w:val="0"/>
          <w:numId w:val="10"/>
        </w:numPr>
      </w:pPr>
      <w:r w:rsidRPr="001B1CD7">
        <w:t xml:space="preserve">CIs show </w:t>
      </w:r>
      <w:r w:rsidRPr="001B1CD7">
        <w:rPr>
          <w:b/>
          <w:bCs/>
        </w:rPr>
        <w:t>precision</w:t>
      </w:r>
      <w:r w:rsidRPr="001B1CD7">
        <w:t>, not probability of being “true”</w:t>
      </w:r>
    </w:p>
    <w:p w14:paraId="12D5982E" w14:textId="77777777" w:rsidR="001B1CD7" w:rsidRPr="001B1CD7" w:rsidRDefault="001B1CD7" w:rsidP="001B1CD7">
      <w:pPr>
        <w:numPr>
          <w:ilvl w:val="0"/>
          <w:numId w:val="10"/>
        </w:numPr>
      </w:pPr>
      <w:r w:rsidRPr="001B1CD7">
        <w:t>Wide CIs may indicate uncertainty even if p-value is significant</w:t>
      </w:r>
    </w:p>
    <w:p w14:paraId="273BDBA7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3E665F53" w14:textId="77777777" w:rsidR="001B1CD7" w:rsidRPr="001B1CD7" w:rsidRDefault="001B1CD7" w:rsidP="001B1CD7">
      <w:pPr>
        <w:numPr>
          <w:ilvl w:val="0"/>
          <w:numId w:val="11"/>
        </w:numPr>
      </w:pPr>
      <w:r w:rsidRPr="001B1CD7">
        <w:t>Difficulty conveying uncertainty</w:t>
      </w:r>
    </w:p>
    <w:p w14:paraId="7863BBD4" w14:textId="77777777" w:rsidR="001B1CD7" w:rsidRPr="001B1CD7" w:rsidRDefault="001B1CD7" w:rsidP="001B1CD7">
      <w:pPr>
        <w:numPr>
          <w:ilvl w:val="0"/>
          <w:numId w:val="11"/>
        </w:numPr>
      </w:pPr>
      <w:r w:rsidRPr="001B1CD7">
        <w:t>Inaccurate statements about drug effect certainty</w:t>
      </w:r>
    </w:p>
    <w:p w14:paraId="2529BB90" w14:textId="77777777" w:rsidR="001B1CD7" w:rsidRPr="001B1CD7" w:rsidRDefault="001B1CD7" w:rsidP="001B1CD7">
      <w:r w:rsidRPr="001B1CD7">
        <w:pict w14:anchorId="49FACA26">
          <v:rect id="_x0000_i1096" style="width:0;height:1.5pt" o:hralign="center" o:hrstd="t" o:hr="t" fillcolor="#a0a0a0" stroked="f"/>
        </w:pict>
      </w:r>
    </w:p>
    <w:p w14:paraId="4D0D4D6B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6. Reading and interpreting safety data</w:t>
      </w:r>
    </w:p>
    <w:p w14:paraId="125FCE00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006E9E76" w14:textId="77777777" w:rsidR="001B1CD7" w:rsidRPr="001B1CD7" w:rsidRDefault="001B1CD7" w:rsidP="001B1CD7">
      <w:pPr>
        <w:numPr>
          <w:ilvl w:val="0"/>
          <w:numId w:val="12"/>
        </w:numPr>
      </w:pPr>
      <w:r w:rsidRPr="001B1CD7">
        <w:t>Exposure-adjusted incidence rates, time-to-event safety, and AE coding (MedDRA) are complex</w:t>
      </w:r>
    </w:p>
    <w:p w14:paraId="2EC1BAC8" w14:textId="77777777" w:rsidR="001B1CD7" w:rsidRPr="001B1CD7" w:rsidRDefault="001B1CD7" w:rsidP="001B1CD7">
      <w:pPr>
        <w:numPr>
          <w:ilvl w:val="0"/>
          <w:numId w:val="12"/>
        </w:numPr>
      </w:pPr>
      <w:r w:rsidRPr="001B1CD7">
        <w:t>MA teams must interpret rare events and signal detection analyses</w:t>
      </w:r>
    </w:p>
    <w:p w14:paraId="5927610C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56C2FF42" w14:textId="77777777" w:rsidR="001B1CD7" w:rsidRPr="001B1CD7" w:rsidRDefault="001B1CD7" w:rsidP="001B1CD7">
      <w:pPr>
        <w:numPr>
          <w:ilvl w:val="0"/>
          <w:numId w:val="13"/>
        </w:numPr>
      </w:pPr>
      <w:r w:rsidRPr="001B1CD7">
        <w:t>Misjudging risk</w:t>
      </w:r>
    </w:p>
    <w:p w14:paraId="11C76CBB" w14:textId="77777777" w:rsidR="001B1CD7" w:rsidRPr="001B1CD7" w:rsidRDefault="001B1CD7" w:rsidP="001B1CD7">
      <w:pPr>
        <w:numPr>
          <w:ilvl w:val="0"/>
          <w:numId w:val="13"/>
        </w:numPr>
      </w:pPr>
      <w:r w:rsidRPr="001B1CD7">
        <w:lastRenderedPageBreak/>
        <w:t>Incorrect communication of benefit–risk profile</w:t>
      </w:r>
    </w:p>
    <w:p w14:paraId="2AA30F09" w14:textId="77777777" w:rsidR="001B1CD7" w:rsidRPr="001B1CD7" w:rsidRDefault="001B1CD7" w:rsidP="001B1CD7">
      <w:r w:rsidRPr="001B1CD7">
        <w:pict w14:anchorId="3529FFB4">
          <v:rect id="_x0000_i1097" style="width:0;height:1.5pt" o:hralign="center" o:hrstd="t" o:hr="t" fillcolor="#a0a0a0" stroked="f"/>
        </w:pict>
      </w:r>
    </w:p>
    <w:p w14:paraId="4C84A296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7. Real-world evidence &amp; observational studies</w:t>
      </w:r>
    </w:p>
    <w:p w14:paraId="175E37ED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14943400" w14:textId="77777777" w:rsidR="001B1CD7" w:rsidRPr="001B1CD7" w:rsidRDefault="001B1CD7" w:rsidP="001B1CD7">
      <w:pPr>
        <w:numPr>
          <w:ilvl w:val="0"/>
          <w:numId w:val="14"/>
        </w:numPr>
      </w:pPr>
      <w:r w:rsidRPr="001B1CD7">
        <w:t>Confounding, bias, and non-randomized design make interpretation challenging</w:t>
      </w:r>
    </w:p>
    <w:p w14:paraId="149BA09F" w14:textId="77777777" w:rsidR="001B1CD7" w:rsidRPr="001B1CD7" w:rsidRDefault="001B1CD7" w:rsidP="001B1CD7">
      <w:pPr>
        <w:numPr>
          <w:ilvl w:val="0"/>
          <w:numId w:val="14"/>
        </w:numPr>
      </w:pPr>
      <w:r w:rsidRPr="001B1CD7">
        <w:t>MA teams often face questions from HCPs about study validity</w:t>
      </w:r>
    </w:p>
    <w:p w14:paraId="316DA537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56680453" w14:textId="77777777" w:rsidR="001B1CD7" w:rsidRPr="001B1CD7" w:rsidRDefault="001B1CD7" w:rsidP="001B1CD7">
      <w:pPr>
        <w:numPr>
          <w:ilvl w:val="0"/>
          <w:numId w:val="15"/>
        </w:numPr>
      </w:pPr>
      <w:r w:rsidRPr="001B1CD7">
        <w:t>Over- or underestimating the strength of evidence</w:t>
      </w:r>
    </w:p>
    <w:p w14:paraId="6F7AB9B8" w14:textId="77777777" w:rsidR="001B1CD7" w:rsidRPr="001B1CD7" w:rsidRDefault="001B1CD7" w:rsidP="001B1CD7">
      <w:pPr>
        <w:numPr>
          <w:ilvl w:val="0"/>
          <w:numId w:val="15"/>
        </w:numPr>
      </w:pPr>
      <w:r w:rsidRPr="001B1CD7">
        <w:t>Difficulty comparing RWE to RCT data</w:t>
      </w:r>
    </w:p>
    <w:p w14:paraId="5233B251" w14:textId="77777777" w:rsidR="001B1CD7" w:rsidRPr="001B1CD7" w:rsidRDefault="001B1CD7" w:rsidP="001B1CD7">
      <w:r w:rsidRPr="001B1CD7">
        <w:pict w14:anchorId="27436573">
          <v:rect id="_x0000_i1098" style="width:0;height:1.5pt" o:hralign="center" o:hrstd="t" o:hr="t" fillcolor="#a0a0a0" stroked="f"/>
        </w:pict>
      </w:r>
    </w:p>
    <w:p w14:paraId="244CAB9D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8. Communication gap</w:t>
      </w:r>
    </w:p>
    <w:p w14:paraId="2C6065E0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093112ED" w14:textId="77777777" w:rsidR="001B1CD7" w:rsidRPr="001B1CD7" w:rsidRDefault="001B1CD7" w:rsidP="001B1CD7">
      <w:pPr>
        <w:numPr>
          <w:ilvl w:val="0"/>
          <w:numId w:val="16"/>
        </w:numPr>
      </w:pPr>
      <w:r w:rsidRPr="001B1CD7">
        <w:t xml:space="preserve">Translating statistical results into </w:t>
      </w:r>
      <w:r w:rsidRPr="001B1CD7">
        <w:rPr>
          <w:b/>
          <w:bCs/>
        </w:rPr>
        <w:t>plain clinical language</w:t>
      </w:r>
      <w:r w:rsidRPr="001B1CD7">
        <w:t xml:space="preserve"> is difficult</w:t>
      </w:r>
    </w:p>
    <w:p w14:paraId="3AAFCBB0" w14:textId="77777777" w:rsidR="001B1CD7" w:rsidRPr="001B1CD7" w:rsidRDefault="001B1CD7" w:rsidP="001B1CD7">
      <w:pPr>
        <w:numPr>
          <w:ilvl w:val="0"/>
          <w:numId w:val="16"/>
        </w:numPr>
      </w:pPr>
      <w:r w:rsidRPr="001B1CD7">
        <w:t>Risk of using jargon, overstating findings, or oversimplifying nuance</w:t>
      </w:r>
    </w:p>
    <w:p w14:paraId="0526049E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1E8BE789" w14:textId="77777777" w:rsidR="001B1CD7" w:rsidRPr="001B1CD7" w:rsidRDefault="001B1CD7" w:rsidP="001B1CD7">
      <w:pPr>
        <w:numPr>
          <w:ilvl w:val="0"/>
          <w:numId w:val="17"/>
        </w:numPr>
      </w:pPr>
      <w:r w:rsidRPr="001B1CD7">
        <w:t>HCPs may receive unclear or misleading information</w:t>
      </w:r>
    </w:p>
    <w:p w14:paraId="783E26D7" w14:textId="77777777" w:rsidR="001B1CD7" w:rsidRPr="001B1CD7" w:rsidRDefault="001B1CD7" w:rsidP="001B1CD7">
      <w:pPr>
        <w:numPr>
          <w:ilvl w:val="0"/>
          <w:numId w:val="17"/>
        </w:numPr>
      </w:pPr>
      <w:r w:rsidRPr="001B1CD7">
        <w:t>Compliance concerns</w:t>
      </w:r>
    </w:p>
    <w:p w14:paraId="03650F87" w14:textId="77777777" w:rsidR="001B1CD7" w:rsidRPr="001B1CD7" w:rsidRDefault="001B1CD7" w:rsidP="001B1CD7">
      <w:r w:rsidRPr="001B1CD7">
        <w:pict w14:anchorId="5F97A413">
          <v:rect id="_x0000_i1099" style="width:0;height:1.5pt" o:hralign="center" o:hrstd="t" o:hr="t" fillcolor="#a0a0a0" stroked="f"/>
        </w:pict>
      </w:r>
    </w:p>
    <w:p w14:paraId="5711669D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9. Integration across multiple studies</w:t>
      </w:r>
    </w:p>
    <w:p w14:paraId="519A7431" w14:textId="77777777" w:rsidR="001B1CD7" w:rsidRPr="001B1CD7" w:rsidRDefault="001B1CD7" w:rsidP="001B1CD7">
      <w:r w:rsidRPr="001B1CD7">
        <w:rPr>
          <w:b/>
          <w:bCs/>
        </w:rPr>
        <w:t>Why it’s a pinch point:</w:t>
      </w:r>
    </w:p>
    <w:p w14:paraId="2D686FDE" w14:textId="77777777" w:rsidR="001B1CD7" w:rsidRPr="001B1CD7" w:rsidRDefault="001B1CD7" w:rsidP="001B1CD7">
      <w:pPr>
        <w:numPr>
          <w:ilvl w:val="0"/>
          <w:numId w:val="18"/>
        </w:numPr>
      </w:pPr>
      <w:r w:rsidRPr="001B1CD7">
        <w:t>Meta-analyses, pooled analyses, or integrated safety summaries require understanding heterogeneity and weighting</w:t>
      </w:r>
    </w:p>
    <w:p w14:paraId="1A9858FD" w14:textId="77777777" w:rsidR="001B1CD7" w:rsidRPr="001B1CD7" w:rsidRDefault="001B1CD7" w:rsidP="001B1CD7">
      <w:pPr>
        <w:numPr>
          <w:ilvl w:val="0"/>
          <w:numId w:val="18"/>
        </w:numPr>
      </w:pPr>
      <w:r w:rsidRPr="001B1CD7">
        <w:t>MA teams may struggle to synthesize trends meaningfully</w:t>
      </w:r>
    </w:p>
    <w:p w14:paraId="619AA45F" w14:textId="77777777" w:rsidR="001B1CD7" w:rsidRPr="001B1CD7" w:rsidRDefault="001B1CD7" w:rsidP="001B1CD7">
      <w:r w:rsidRPr="001B1CD7">
        <w:rPr>
          <w:b/>
          <w:bCs/>
        </w:rPr>
        <w:t>Impact:</w:t>
      </w:r>
    </w:p>
    <w:p w14:paraId="04A0AEC7" w14:textId="77777777" w:rsidR="001B1CD7" w:rsidRPr="001B1CD7" w:rsidRDefault="001B1CD7" w:rsidP="001B1CD7">
      <w:pPr>
        <w:numPr>
          <w:ilvl w:val="0"/>
          <w:numId w:val="19"/>
        </w:numPr>
      </w:pPr>
      <w:r w:rsidRPr="001B1CD7">
        <w:t>Miscommunication of overall benefit–risk profile</w:t>
      </w:r>
    </w:p>
    <w:p w14:paraId="235DA8BD" w14:textId="77777777" w:rsidR="001B1CD7" w:rsidRPr="001B1CD7" w:rsidRDefault="001B1CD7" w:rsidP="001B1CD7">
      <w:pPr>
        <w:numPr>
          <w:ilvl w:val="0"/>
          <w:numId w:val="19"/>
        </w:numPr>
      </w:pPr>
      <w:r w:rsidRPr="001B1CD7">
        <w:t>Conflicting interpretations internally or externally</w:t>
      </w:r>
    </w:p>
    <w:p w14:paraId="5B1F2716" w14:textId="77777777" w:rsidR="001B1CD7" w:rsidRPr="001B1CD7" w:rsidRDefault="001B1CD7" w:rsidP="001B1CD7">
      <w:r w:rsidRPr="001B1CD7">
        <w:pict w14:anchorId="577E48B0">
          <v:rect id="_x0000_i1100" style="width:0;height:1.5pt" o:hralign="center" o:hrstd="t" o:hr="t" fillcolor="#a0a0a0" stroked="f"/>
        </w:pict>
      </w:r>
    </w:p>
    <w:p w14:paraId="552B5B52" w14:textId="77777777" w:rsidR="001B1CD7" w:rsidRPr="001B1CD7" w:rsidRDefault="001B1CD7" w:rsidP="001B1CD7">
      <w:pPr>
        <w:rPr>
          <w:b/>
          <w:bCs/>
        </w:rPr>
      </w:pPr>
      <w:r w:rsidRPr="001B1CD7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336"/>
        <w:gridCol w:w="3153"/>
      </w:tblGrid>
      <w:tr w:rsidR="001B1CD7" w:rsidRPr="001B1CD7" w14:paraId="334FA7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B3AF1" w14:textId="77777777" w:rsidR="001B1CD7" w:rsidRPr="001B1CD7" w:rsidRDefault="001B1CD7" w:rsidP="001B1CD7">
            <w:pPr>
              <w:rPr>
                <w:b/>
                <w:bCs/>
              </w:rPr>
            </w:pPr>
            <w:r w:rsidRPr="001B1CD7">
              <w:rPr>
                <w:b/>
                <w:bCs/>
              </w:rPr>
              <w:lastRenderedPageBreak/>
              <w:t>Pinch Point</w:t>
            </w:r>
          </w:p>
        </w:tc>
        <w:tc>
          <w:tcPr>
            <w:tcW w:w="0" w:type="auto"/>
            <w:vAlign w:val="center"/>
            <w:hideMark/>
          </w:tcPr>
          <w:p w14:paraId="75F12DCD" w14:textId="77777777" w:rsidR="001B1CD7" w:rsidRPr="001B1CD7" w:rsidRDefault="001B1CD7" w:rsidP="001B1CD7">
            <w:pPr>
              <w:rPr>
                <w:b/>
                <w:bCs/>
              </w:rPr>
            </w:pPr>
            <w:r w:rsidRPr="001B1CD7">
              <w:rPr>
                <w:b/>
                <w:bCs/>
              </w:rPr>
              <w:t>Why It Happens</w:t>
            </w:r>
          </w:p>
        </w:tc>
        <w:tc>
          <w:tcPr>
            <w:tcW w:w="0" w:type="auto"/>
            <w:vAlign w:val="center"/>
            <w:hideMark/>
          </w:tcPr>
          <w:p w14:paraId="40771439" w14:textId="77777777" w:rsidR="001B1CD7" w:rsidRPr="001B1CD7" w:rsidRDefault="001B1CD7" w:rsidP="001B1CD7">
            <w:pPr>
              <w:rPr>
                <w:b/>
                <w:bCs/>
              </w:rPr>
            </w:pPr>
            <w:r w:rsidRPr="001B1CD7">
              <w:rPr>
                <w:b/>
                <w:bCs/>
              </w:rPr>
              <w:t>Impact</w:t>
            </w:r>
          </w:p>
        </w:tc>
      </w:tr>
      <w:tr w:rsidR="001B1CD7" w:rsidRPr="001B1CD7" w14:paraId="115E1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16DD" w14:textId="77777777" w:rsidR="001B1CD7" w:rsidRPr="001B1CD7" w:rsidRDefault="001B1CD7" w:rsidP="001B1CD7">
            <w:r w:rsidRPr="001B1CD7">
              <w:t>p-value misinterpretation</w:t>
            </w:r>
          </w:p>
        </w:tc>
        <w:tc>
          <w:tcPr>
            <w:tcW w:w="0" w:type="auto"/>
            <w:vAlign w:val="center"/>
            <w:hideMark/>
          </w:tcPr>
          <w:p w14:paraId="2A4FCCC4" w14:textId="77777777" w:rsidR="001B1CD7" w:rsidRPr="001B1CD7" w:rsidRDefault="001B1CD7" w:rsidP="001B1CD7">
            <w:r w:rsidRPr="001B1CD7">
              <w:t>Focus on “significance” over effect size</w:t>
            </w:r>
          </w:p>
        </w:tc>
        <w:tc>
          <w:tcPr>
            <w:tcW w:w="0" w:type="auto"/>
            <w:vAlign w:val="center"/>
            <w:hideMark/>
          </w:tcPr>
          <w:p w14:paraId="526F42AF" w14:textId="77777777" w:rsidR="001B1CD7" w:rsidRPr="001B1CD7" w:rsidRDefault="001B1CD7" w:rsidP="001B1CD7">
            <w:r w:rsidRPr="001B1CD7">
              <w:t>Over/underestimation of efficacy</w:t>
            </w:r>
          </w:p>
        </w:tc>
      </w:tr>
      <w:tr w:rsidR="001B1CD7" w:rsidRPr="001B1CD7" w14:paraId="3F7DB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1A4C" w14:textId="77777777" w:rsidR="001B1CD7" w:rsidRPr="001B1CD7" w:rsidRDefault="001B1CD7" w:rsidP="001B1CD7">
            <w:r w:rsidRPr="001B1CD7">
              <w:t>Absolute vs relative risk</w:t>
            </w:r>
          </w:p>
        </w:tc>
        <w:tc>
          <w:tcPr>
            <w:tcW w:w="0" w:type="auto"/>
            <w:vAlign w:val="center"/>
            <w:hideMark/>
          </w:tcPr>
          <w:p w14:paraId="60D2BB23" w14:textId="77777777" w:rsidR="001B1CD7" w:rsidRPr="001B1CD7" w:rsidRDefault="001B1CD7" w:rsidP="001B1CD7">
            <w:r w:rsidRPr="001B1CD7">
              <w:t>Lack of focus on real-world relevance</w:t>
            </w:r>
          </w:p>
        </w:tc>
        <w:tc>
          <w:tcPr>
            <w:tcW w:w="0" w:type="auto"/>
            <w:vAlign w:val="center"/>
            <w:hideMark/>
          </w:tcPr>
          <w:p w14:paraId="0F620C47" w14:textId="77777777" w:rsidR="001B1CD7" w:rsidRPr="001B1CD7" w:rsidRDefault="001B1CD7" w:rsidP="001B1CD7">
            <w:r w:rsidRPr="001B1CD7">
              <w:t>Misleading HCP communication</w:t>
            </w:r>
          </w:p>
        </w:tc>
      </w:tr>
      <w:tr w:rsidR="001B1CD7" w:rsidRPr="001B1CD7" w14:paraId="1A57B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607A" w14:textId="77777777" w:rsidR="001B1CD7" w:rsidRPr="001B1CD7" w:rsidRDefault="001B1CD7" w:rsidP="001B1CD7">
            <w:r w:rsidRPr="001B1CD7">
              <w:t>Time-to-event data</w:t>
            </w:r>
          </w:p>
        </w:tc>
        <w:tc>
          <w:tcPr>
            <w:tcW w:w="0" w:type="auto"/>
            <w:vAlign w:val="center"/>
            <w:hideMark/>
          </w:tcPr>
          <w:p w14:paraId="6AD00E25" w14:textId="77777777" w:rsidR="001B1CD7" w:rsidRPr="001B1CD7" w:rsidRDefault="001B1CD7" w:rsidP="001B1CD7">
            <w:r w:rsidRPr="001B1CD7">
              <w:t>Censoring &amp; HR concepts are non-intuitive</w:t>
            </w:r>
          </w:p>
        </w:tc>
        <w:tc>
          <w:tcPr>
            <w:tcW w:w="0" w:type="auto"/>
            <w:vAlign w:val="center"/>
            <w:hideMark/>
          </w:tcPr>
          <w:p w14:paraId="4ABB9BE0" w14:textId="77777777" w:rsidR="001B1CD7" w:rsidRPr="001B1CD7" w:rsidRDefault="001B1CD7" w:rsidP="001B1CD7">
            <w:r w:rsidRPr="001B1CD7">
              <w:t>Confusion in survival interpretation</w:t>
            </w:r>
          </w:p>
        </w:tc>
      </w:tr>
      <w:tr w:rsidR="001B1CD7" w:rsidRPr="001B1CD7" w14:paraId="616B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2E96" w14:textId="77777777" w:rsidR="001B1CD7" w:rsidRPr="001B1CD7" w:rsidRDefault="001B1CD7" w:rsidP="001B1CD7">
            <w:r w:rsidRPr="001B1CD7">
              <w:t>Subgroup/multiplicity</w:t>
            </w:r>
          </w:p>
        </w:tc>
        <w:tc>
          <w:tcPr>
            <w:tcW w:w="0" w:type="auto"/>
            <w:vAlign w:val="center"/>
            <w:hideMark/>
          </w:tcPr>
          <w:p w14:paraId="37B7FFFE" w14:textId="77777777" w:rsidR="001B1CD7" w:rsidRPr="001B1CD7" w:rsidRDefault="001B1CD7" w:rsidP="001B1CD7">
            <w:r w:rsidRPr="001B1CD7">
              <w:t>Exploratory results overemphasized</w:t>
            </w:r>
          </w:p>
        </w:tc>
        <w:tc>
          <w:tcPr>
            <w:tcW w:w="0" w:type="auto"/>
            <w:vAlign w:val="center"/>
            <w:hideMark/>
          </w:tcPr>
          <w:p w14:paraId="28E48266" w14:textId="77777777" w:rsidR="001B1CD7" w:rsidRPr="001B1CD7" w:rsidRDefault="001B1CD7" w:rsidP="001B1CD7">
            <w:r w:rsidRPr="001B1CD7">
              <w:t>Compliance &amp; regulatory risk</w:t>
            </w:r>
          </w:p>
        </w:tc>
      </w:tr>
      <w:tr w:rsidR="001B1CD7" w:rsidRPr="001B1CD7" w14:paraId="662D6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9B47" w14:textId="77777777" w:rsidR="001B1CD7" w:rsidRPr="001B1CD7" w:rsidRDefault="001B1CD7" w:rsidP="001B1CD7">
            <w:r w:rsidRPr="001B1CD7">
              <w:t>Confidence intervals</w:t>
            </w:r>
          </w:p>
        </w:tc>
        <w:tc>
          <w:tcPr>
            <w:tcW w:w="0" w:type="auto"/>
            <w:vAlign w:val="center"/>
            <w:hideMark/>
          </w:tcPr>
          <w:p w14:paraId="0428D82D" w14:textId="77777777" w:rsidR="001B1CD7" w:rsidRPr="001B1CD7" w:rsidRDefault="001B1CD7" w:rsidP="001B1CD7">
            <w:r w:rsidRPr="001B1CD7">
              <w:t>Precision misunderstood</w:t>
            </w:r>
          </w:p>
        </w:tc>
        <w:tc>
          <w:tcPr>
            <w:tcW w:w="0" w:type="auto"/>
            <w:vAlign w:val="center"/>
            <w:hideMark/>
          </w:tcPr>
          <w:p w14:paraId="2DF9E0AF" w14:textId="77777777" w:rsidR="001B1CD7" w:rsidRPr="001B1CD7" w:rsidRDefault="001B1CD7" w:rsidP="001B1CD7">
            <w:r w:rsidRPr="001B1CD7">
              <w:t>Misstatement of certainty</w:t>
            </w:r>
          </w:p>
        </w:tc>
      </w:tr>
      <w:tr w:rsidR="001B1CD7" w:rsidRPr="001B1CD7" w14:paraId="75243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73E1" w14:textId="77777777" w:rsidR="001B1CD7" w:rsidRPr="001B1CD7" w:rsidRDefault="001B1CD7" w:rsidP="001B1CD7">
            <w:r w:rsidRPr="001B1CD7">
              <w:t>Safety data</w:t>
            </w:r>
          </w:p>
        </w:tc>
        <w:tc>
          <w:tcPr>
            <w:tcW w:w="0" w:type="auto"/>
            <w:vAlign w:val="center"/>
            <w:hideMark/>
          </w:tcPr>
          <w:p w14:paraId="05466BFD" w14:textId="77777777" w:rsidR="001B1CD7" w:rsidRPr="001B1CD7" w:rsidRDefault="001B1CD7" w:rsidP="001B1CD7">
            <w:r w:rsidRPr="001B1CD7">
              <w:t>Complex coding &amp; incidence metrics</w:t>
            </w:r>
          </w:p>
        </w:tc>
        <w:tc>
          <w:tcPr>
            <w:tcW w:w="0" w:type="auto"/>
            <w:vAlign w:val="center"/>
            <w:hideMark/>
          </w:tcPr>
          <w:p w14:paraId="79A97617" w14:textId="77777777" w:rsidR="001B1CD7" w:rsidRPr="001B1CD7" w:rsidRDefault="001B1CD7" w:rsidP="001B1CD7">
            <w:proofErr w:type="spellStart"/>
            <w:r w:rsidRPr="001B1CD7">
              <w:t>Misjudgment</w:t>
            </w:r>
            <w:proofErr w:type="spellEnd"/>
            <w:r w:rsidRPr="001B1CD7">
              <w:t xml:space="preserve"> of risk</w:t>
            </w:r>
          </w:p>
        </w:tc>
      </w:tr>
      <w:tr w:rsidR="001B1CD7" w:rsidRPr="001B1CD7" w14:paraId="5837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8EF1" w14:textId="77777777" w:rsidR="001B1CD7" w:rsidRPr="001B1CD7" w:rsidRDefault="001B1CD7" w:rsidP="001B1CD7">
            <w:r w:rsidRPr="001B1CD7">
              <w:t>RWE interpretation</w:t>
            </w:r>
          </w:p>
        </w:tc>
        <w:tc>
          <w:tcPr>
            <w:tcW w:w="0" w:type="auto"/>
            <w:vAlign w:val="center"/>
            <w:hideMark/>
          </w:tcPr>
          <w:p w14:paraId="343E7052" w14:textId="77777777" w:rsidR="001B1CD7" w:rsidRPr="001B1CD7" w:rsidRDefault="001B1CD7" w:rsidP="001B1CD7">
            <w:r w:rsidRPr="001B1CD7">
              <w:t>Confounding &amp; bias</w:t>
            </w:r>
          </w:p>
        </w:tc>
        <w:tc>
          <w:tcPr>
            <w:tcW w:w="0" w:type="auto"/>
            <w:vAlign w:val="center"/>
            <w:hideMark/>
          </w:tcPr>
          <w:p w14:paraId="5A67B92D" w14:textId="77777777" w:rsidR="001B1CD7" w:rsidRPr="001B1CD7" w:rsidRDefault="001B1CD7" w:rsidP="001B1CD7">
            <w:r w:rsidRPr="001B1CD7">
              <w:t>Misestimation of evidence strength</w:t>
            </w:r>
          </w:p>
        </w:tc>
      </w:tr>
      <w:tr w:rsidR="001B1CD7" w:rsidRPr="001B1CD7" w14:paraId="3253B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8FE1" w14:textId="77777777" w:rsidR="001B1CD7" w:rsidRPr="001B1CD7" w:rsidRDefault="001B1CD7" w:rsidP="001B1CD7">
            <w:r w:rsidRPr="001B1CD7">
              <w:t>Communication gap</w:t>
            </w:r>
          </w:p>
        </w:tc>
        <w:tc>
          <w:tcPr>
            <w:tcW w:w="0" w:type="auto"/>
            <w:vAlign w:val="center"/>
            <w:hideMark/>
          </w:tcPr>
          <w:p w14:paraId="25028E2C" w14:textId="77777777" w:rsidR="001B1CD7" w:rsidRPr="001B1CD7" w:rsidRDefault="001B1CD7" w:rsidP="001B1CD7">
            <w:r w:rsidRPr="001B1CD7">
              <w:t>Statistical jargon vs plain language</w:t>
            </w:r>
          </w:p>
        </w:tc>
        <w:tc>
          <w:tcPr>
            <w:tcW w:w="0" w:type="auto"/>
            <w:vAlign w:val="center"/>
            <w:hideMark/>
          </w:tcPr>
          <w:p w14:paraId="6E14E2F5" w14:textId="77777777" w:rsidR="001B1CD7" w:rsidRPr="001B1CD7" w:rsidRDefault="001B1CD7" w:rsidP="001B1CD7">
            <w:r w:rsidRPr="001B1CD7">
              <w:t>HCP misunderstanding</w:t>
            </w:r>
          </w:p>
        </w:tc>
      </w:tr>
      <w:tr w:rsidR="001B1CD7" w:rsidRPr="001B1CD7" w14:paraId="7F0D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F67C" w14:textId="77777777" w:rsidR="001B1CD7" w:rsidRPr="001B1CD7" w:rsidRDefault="001B1CD7" w:rsidP="001B1CD7">
            <w:r w:rsidRPr="001B1CD7">
              <w:t>Integration of studies</w:t>
            </w:r>
          </w:p>
        </w:tc>
        <w:tc>
          <w:tcPr>
            <w:tcW w:w="0" w:type="auto"/>
            <w:vAlign w:val="center"/>
            <w:hideMark/>
          </w:tcPr>
          <w:p w14:paraId="6AF7D6B3" w14:textId="77777777" w:rsidR="001B1CD7" w:rsidRPr="001B1CD7" w:rsidRDefault="001B1CD7" w:rsidP="001B1CD7">
            <w:r w:rsidRPr="001B1CD7">
              <w:t>Heterogeneity &amp; weighting</w:t>
            </w:r>
          </w:p>
        </w:tc>
        <w:tc>
          <w:tcPr>
            <w:tcW w:w="0" w:type="auto"/>
            <w:vAlign w:val="center"/>
            <w:hideMark/>
          </w:tcPr>
          <w:p w14:paraId="40F48132" w14:textId="77777777" w:rsidR="001B1CD7" w:rsidRPr="001B1CD7" w:rsidRDefault="001B1CD7" w:rsidP="001B1CD7">
            <w:r w:rsidRPr="001B1CD7">
              <w:t>Inaccurate summary of benefit–risk</w:t>
            </w:r>
          </w:p>
        </w:tc>
      </w:tr>
    </w:tbl>
    <w:p w14:paraId="383E7E78" w14:textId="77777777" w:rsidR="001B1CD7" w:rsidRPr="001B1CD7" w:rsidRDefault="001B1CD7" w:rsidP="001B1CD7">
      <w:r w:rsidRPr="001B1CD7">
        <w:pict w14:anchorId="22B77556">
          <v:rect id="_x0000_i1101" style="width:0;height:1.5pt" o:hralign="center" o:hrstd="t" o:hr="t" fillcolor="#a0a0a0" stroked="f"/>
        </w:pict>
      </w:r>
    </w:p>
    <w:p w14:paraId="50868840" w14:textId="77777777" w:rsidR="001B1CD7" w:rsidRPr="001B1CD7" w:rsidRDefault="001B1CD7" w:rsidP="001B1CD7">
      <w:r w:rsidRPr="001B1CD7">
        <w:t xml:space="preserve">If you want, I can </w:t>
      </w:r>
      <w:r w:rsidRPr="001B1CD7">
        <w:rPr>
          <w:b/>
          <w:bCs/>
        </w:rPr>
        <w:t>also produce a visual “pinch points” framework</w:t>
      </w:r>
      <w:r w:rsidRPr="001B1CD7">
        <w:t xml:space="preserve"> for Medical Affairs that maps </w:t>
      </w:r>
      <w:r w:rsidRPr="001B1CD7">
        <w:rPr>
          <w:b/>
          <w:bCs/>
        </w:rPr>
        <w:t>statistical concept → challenge → MA solution</w:t>
      </w:r>
      <w:r w:rsidRPr="001B1CD7">
        <w:t xml:space="preserve"> for training purposes. This is highly effective for onboarding or 1-day courses.</w:t>
      </w:r>
    </w:p>
    <w:p w14:paraId="5425E41A" w14:textId="77777777" w:rsidR="001B1CD7" w:rsidRPr="001B1CD7" w:rsidRDefault="001B1CD7" w:rsidP="001B1CD7">
      <w:r w:rsidRPr="001B1CD7">
        <w:t>Do you want me to create that visual framework?</w:t>
      </w:r>
    </w:p>
    <w:p w14:paraId="1DD66476" w14:textId="77777777" w:rsidR="007852C2" w:rsidRDefault="007852C2"/>
    <w:sectPr w:rsidR="00785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F41"/>
    <w:multiLevelType w:val="multilevel"/>
    <w:tmpl w:val="CD26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AF7"/>
    <w:multiLevelType w:val="multilevel"/>
    <w:tmpl w:val="31B4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A55DB"/>
    <w:multiLevelType w:val="multilevel"/>
    <w:tmpl w:val="E6B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80D75"/>
    <w:multiLevelType w:val="multilevel"/>
    <w:tmpl w:val="E5E6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627B4"/>
    <w:multiLevelType w:val="multilevel"/>
    <w:tmpl w:val="E2A0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DE0B43"/>
    <w:multiLevelType w:val="multilevel"/>
    <w:tmpl w:val="7C9A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23476"/>
    <w:multiLevelType w:val="multilevel"/>
    <w:tmpl w:val="A0C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20917"/>
    <w:multiLevelType w:val="multilevel"/>
    <w:tmpl w:val="E3E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47FD7"/>
    <w:multiLevelType w:val="multilevel"/>
    <w:tmpl w:val="819E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717D0"/>
    <w:multiLevelType w:val="multilevel"/>
    <w:tmpl w:val="5576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F740E"/>
    <w:multiLevelType w:val="multilevel"/>
    <w:tmpl w:val="05B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57268"/>
    <w:multiLevelType w:val="multilevel"/>
    <w:tmpl w:val="95E4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24406"/>
    <w:multiLevelType w:val="multilevel"/>
    <w:tmpl w:val="D368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96BB9"/>
    <w:multiLevelType w:val="multilevel"/>
    <w:tmpl w:val="CAEA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E0560"/>
    <w:multiLevelType w:val="multilevel"/>
    <w:tmpl w:val="C2B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C4630E"/>
    <w:multiLevelType w:val="multilevel"/>
    <w:tmpl w:val="AB1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234E6"/>
    <w:multiLevelType w:val="multilevel"/>
    <w:tmpl w:val="369E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C1724F"/>
    <w:multiLevelType w:val="multilevel"/>
    <w:tmpl w:val="186E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D3799"/>
    <w:multiLevelType w:val="multilevel"/>
    <w:tmpl w:val="555A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7723165">
    <w:abstractNumId w:val="11"/>
  </w:num>
  <w:num w:numId="2" w16cid:durableId="231627439">
    <w:abstractNumId w:val="15"/>
  </w:num>
  <w:num w:numId="3" w16cid:durableId="946812432">
    <w:abstractNumId w:val="8"/>
  </w:num>
  <w:num w:numId="4" w16cid:durableId="177164668">
    <w:abstractNumId w:val="7"/>
  </w:num>
  <w:num w:numId="5" w16cid:durableId="1454712275">
    <w:abstractNumId w:val="14"/>
  </w:num>
  <w:num w:numId="6" w16cid:durableId="1001081295">
    <w:abstractNumId w:val="13"/>
  </w:num>
  <w:num w:numId="7" w16cid:durableId="296036697">
    <w:abstractNumId w:val="16"/>
  </w:num>
  <w:num w:numId="8" w16cid:durableId="1370112030">
    <w:abstractNumId w:val="1"/>
  </w:num>
  <w:num w:numId="9" w16cid:durableId="834299570">
    <w:abstractNumId w:val="3"/>
  </w:num>
  <w:num w:numId="10" w16cid:durableId="417290544">
    <w:abstractNumId w:val="18"/>
  </w:num>
  <w:num w:numId="11" w16cid:durableId="475999481">
    <w:abstractNumId w:val="12"/>
  </w:num>
  <w:num w:numId="12" w16cid:durableId="118693690">
    <w:abstractNumId w:val="4"/>
  </w:num>
  <w:num w:numId="13" w16cid:durableId="625624692">
    <w:abstractNumId w:val="5"/>
  </w:num>
  <w:num w:numId="14" w16cid:durableId="2086950117">
    <w:abstractNumId w:val="0"/>
  </w:num>
  <w:num w:numId="15" w16cid:durableId="1961380790">
    <w:abstractNumId w:val="6"/>
  </w:num>
  <w:num w:numId="16" w16cid:durableId="800922147">
    <w:abstractNumId w:val="9"/>
  </w:num>
  <w:num w:numId="17" w16cid:durableId="1909725386">
    <w:abstractNumId w:val="17"/>
  </w:num>
  <w:num w:numId="18" w16cid:durableId="1284918290">
    <w:abstractNumId w:val="10"/>
  </w:num>
  <w:num w:numId="19" w16cid:durableId="1654486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CD7"/>
    <w:rsid w:val="001B1CD7"/>
    <w:rsid w:val="00646F76"/>
    <w:rsid w:val="007852C2"/>
    <w:rsid w:val="00D81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8B4AB"/>
  <w15:chartTrackingRefBased/>
  <w15:docId w15:val="{8B1E4A1E-D249-4B04-B466-66FA1227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Mallett</dc:creator>
  <cp:keywords/>
  <dc:description/>
  <cp:lastModifiedBy>Steve Mallett</cp:lastModifiedBy>
  <cp:revision>1</cp:revision>
  <dcterms:created xsi:type="dcterms:W3CDTF">2025-11-27T16:08:00Z</dcterms:created>
  <dcterms:modified xsi:type="dcterms:W3CDTF">2025-11-27T16:09:00Z</dcterms:modified>
</cp:coreProperties>
</file>