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28"/>
          <w:szCs w:val="28"/>
        </w:rPr>
        <w:t xml:space="preserve">Response to Reviewers</w:t>
      </w:r>
    </w:p>
    <w:p>
      <w:pPr>
        <w:spacing w:after="120"/>
      </w:pPr>
      <w:r>
        <w:t>Paper ID 238 | Volume 1 | Chapter 14 | Semantic Visual Validation for OTT User Interfaces Using Deep Learning</w:t>
      </w:r>
    </w:p>
    <w:p>
      <w:pPr>
        <w:spacing w:after="200"/>
      </w:pPr>
      <w:r>
        <w:t>We thank the three reviewers for their comments. The table below lists every comment and the present response, including work still required before submission. Reviewer numbers follow the review form (R2, R5, R6).</w:t>
      </w:r>
    </w:p>
    <w:tbl>
      <w:tblPr>
        <w:tblW w:type="dxa" w:w="10080"/>
        <w:tblBorders>
          <w:top w:val="single" w:sz="4"/>
          <w:left w:val="single" w:sz="4"/>
          <w:bottom w:val="single" w:sz="4"/>
          <w:right w:val="single" w:sz="4"/>
          <w:insideH w:val="single" w:sz="4"/>
          <w:insideV w:val="single" w:sz="4"/>
        </w:tblBorders>
        <w:tblLayout w:type="fixed"/>
      </w:tblPr>
      <w:tblGrid>
        <w:gridCol w:w="936"/>
        <w:gridCol w:w="3096"/>
        <w:gridCol w:w="4896"/>
        <w:gridCol w:w="1152"/>
      </w:tblGrid>
      <w:tr>
        <w:trPr>
          <w:tblHeader/>
          <w:cantSplit/>
        </w:trPr>
        <w:tc>
          <w:tcPr>
            <w:tcW w:type="dxa" w:w="936"/>
            <w:shd w:fill="E8EEF4" w:color="auto" w:val="clear"/>
            <w:tcMar>
              <w:top w:type="dxa" w:w="40"/>
              <w:left w:type="dxa" w:w="80"/>
              <w:bottom w:type="dxa" w:w="40"/>
              <w:right w:type="dxa" w:w="80"/>
            </w:tcMar>
            <w:vAlign w:val="top"/>
          </w:tcPr>
          <w:p>
            <w:pPr>
              <w:spacing w:after="20" w:before="20"/>
            </w:pPr>
            <w:r>
              <w:rPr>
                <w:rFonts w:ascii="Calibri" w:cs="Calibri" w:eastAsia="Calibri" w:hAnsi="Calibri"/>
                <w:b/>
                <w:bCs/>
                <w:sz w:val="18"/>
                <w:szCs w:val="18"/>
              </w:rPr>
              <w:t xml:space="preserve">#</w:t>
            </w:r>
          </w:p>
        </w:tc>
        <w:tc>
          <w:tcPr>
            <w:tcW w:type="dxa" w:w="3096"/>
            <w:shd w:fill="E8EEF4" w:color="auto" w:val="clear"/>
            <w:tcMar>
              <w:top w:type="dxa" w:w="40"/>
              <w:left w:type="dxa" w:w="80"/>
              <w:bottom w:type="dxa" w:w="40"/>
              <w:right w:type="dxa" w:w="80"/>
            </w:tcMar>
            <w:vAlign w:val="top"/>
          </w:tcPr>
          <w:p>
            <w:pPr>
              <w:spacing w:after="20" w:before="20"/>
            </w:pPr>
            <w:r>
              <w:rPr>
                <w:rFonts w:ascii="Calibri" w:cs="Calibri" w:eastAsia="Calibri" w:hAnsi="Calibri"/>
                <w:b/>
                <w:bCs/>
                <w:sz w:val="18"/>
                <w:szCs w:val="18"/>
              </w:rPr>
              <w:t xml:space="preserve">Reviewer comment</w:t>
            </w:r>
          </w:p>
        </w:tc>
        <w:tc>
          <w:tcPr>
            <w:tcW w:type="dxa" w:w="4896"/>
            <w:shd w:fill="E8EEF4" w:color="auto" w:val="clear"/>
            <w:tcMar>
              <w:top w:type="dxa" w:w="40"/>
              <w:left w:type="dxa" w:w="80"/>
              <w:bottom w:type="dxa" w:w="40"/>
              <w:right w:type="dxa" w:w="80"/>
            </w:tcMar>
            <w:vAlign w:val="top"/>
          </w:tcPr>
          <w:p>
            <w:pPr>
              <w:spacing w:after="20" w:before="20"/>
            </w:pPr>
            <w:r>
              <w:rPr>
                <w:rFonts w:ascii="Calibri" w:cs="Calibri" w:eastAsia="Calibri" w:hAnsi="Calibri"/>
                <w:b/>
                <w:bCs/>
                <w:sz w:val="18"/>
                <w:szCs w:val="18"/>
              </w:rPr>
              <w:t xml:space="preserve">Action taken in the revised manuscript</w:t>
            </w:r>
          </w:p>
        </w:tc>
        <w:tc>
          <w:tcPr>
            <w:tcW w:type="dxa" w:w="1152"/>
            <w:shd w:fill="E8EEF4" w:color="auto" w:val="clear"/>
            <w:tcMar>
              <w:top w:type="dxa" w:w="40"/>
              <w:left w:type="dxa" w:w="80"/>
              <w:bottom w:type="dxa" w:w="40"/>
              <w:right w:type="dxa" w:w="80"/>
            </w:tcMar>
            <w:vAlign w:val="top"/>
          </w:tcPr>
          <w:p>
            <w:pPr>
              <w:spacing w:after="20" w:before="20"/>
            </w:pPr>
            <w:r>
              <w:rPr>
                <w:rFonts w:ascii="Calibri" w:cs="Calibri" w:eastAsia="Calibri" w:hAnsi="Calibri"/>
                <w:b/>
                <w:bCs/>
                <w:sz w:val="18"/>
                <w:szCs w:val="18"/>
              </w:rPr>
              <w:t xml:space="preserve">Where</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R2-1</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Similarity index below 18%, AI Writing Index below 20%, no more than 2% from one source.</w:t>
            </w:r>
          </w:p>
        </w:tc>
        <w:tc>
          <w:tcPr>
            <w:tcW w:type="dxa" w:w="4896"/>
            <w:tcMar>
              <w:top w:type="dxa" w:w="40"/>
              <w:left w:type="dxa" w:w="80"/>
              <w:bottom w:type="dxa" w:w="40"/>
              <w:right w:type="dxa" w:w="80"/>
            </w:tcMar>
            <w:vAlign w:val="top"/>
          </w:tcPr>
          <w:p>
            <w:r>
              <w:rPr>
                <w:sz w:val="18"/>
              </w:rPr>
              <w:t>The latest threshold is below 15% similarity excluding bibliography, with no more than 2% from one source. No detector score is claimed. A final report remains required.</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Whole paper</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R2-2</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Cite all figures, tables, equations and references in the text before they appear.</w:t>
            </w:r>
          </w:p>
        </w:tc>
        <w:tc>
          <w:tcPr>
            <w:tcW w:type="dxa" w:w="4896"/>
            <w:tcMar>
              <w:top w:type="dxa" w:w="40"/>
              <w:left w:type="dxa" w:w="80"/>
              <w:bottom w:type="dxa" w:w="40"/>
              <w:right w:type="dxa" w:w="80"/>
            </w:tcMar>
            <w:vAlign w:val="top"/>
          </w:tcPr>
          <w:p>
            <w:r>
              <w:rPr>
                <w:sz w:val="18"/>
              </w:rPr>
              <w:t>Figures, tables and equations have introductory citations. References retain the established numbering; the final manuscript should be checked against the publisher proof.</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Whole paper</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R2-3</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Complete, properly formatted references; no machine-generated or incomplete entries.</w:t>
            </w:r>
          </w:p>
        </w:tc>
        <w:tc>
          <w:tcPr>
            <w:tcW w:type="dxa" w:w="4896"/>
            <w:tcMar>
              <w:top w:type="dxa" w:w="40"/>
              <w:left w:type="dxa" w:w="80"/>
              <w:bottom w:type="dxa" w:w="40"/>
              <w:right w:type="dxa" w:w="80"/>
            </w:tcMar>
            <w:vAlign w:val="top"/>
          </w:tcPr>
          <w:p>
            <w:r>
              <w:rPr>
                <w:sz w:val="18"/>
              </w:rPr>
              <w:t>The list has 14 entries. Authors should verify metadata and final publication venues against primary records.</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References</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R2-4</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Figures at 500 DPI or better, no blurred images.</w:t>
            </w:r>
          </w:p>
        </w:tc>
        <w:tc>
          <w:tcPr>
            <w:tcW w:type="dxa" w:w="4896"/>
            <w:tcMar>
              <w:top w:type="dxa" w:w="40"/>
              <w:left w:type="dxa" w:w="80"/>
              <w:bottom w:type="dxa" w:w="40"/>
              <w:right w:type="dxa" w:w="80"/>
            </w:tcMar>
            <w:vAlign w:val="top"/>
          </w:tcPr>
          <w:p>
            <w:r>
              <w:rPr>
                <w:sz w:val="18"/>
              </w:rPr>
              <w:t>The supplied diagrams use high-resolution raster images and were scaled to the Springer text area. Inspect figure labels in the final PDF.</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Figs. 1 to 8</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R2-5</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Figures and tables numbered with descriptive captions.</w:t>
            </w:r>
          </w:p>
        </w:tc>
        <w:tc>
          <w:tcPr>
            <w:tcW w:type="dxa" w:w="4896"/>
            <w:tcMar>
              <w:top w:type="dxa" w:w="40"/>
              <w:left w:type="dxa" w:w="80"/>
              <w:bottom w:type="dxa" w:w="40"/>
              <w:right w:type="dxa" w:w="80"/>
            </w:tcMar>
            <w:vAlign w:val="top"/>
          </w:tcPr>
          <w:p>
            <w:r>
              <w:rPr>
                <w:sz w:val="18"/>
              </w:rPr>
              <w:t>The manuscript contains nine numbered figures and four native tables with captions.</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All figures and tables</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R2-6</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Tables as real tables, not images.</w:t>
            </w:r>
          </w:p>
        </w:tc>
        <w:tc>
          <w:tcPr>
            <w:tcW w:type="dxa" w:w="48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All four tables are native Word tables.</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Tables 1 to 4</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R2-7</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Expand abbreviations at first use; avoid non-standard ones.</w:t>
            </w:r>
          </w:p>
        </w:tc>
        <w:tc>
          <w:tcPr>
            <w:tcW w:type="dxa" w:w="48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OTT, CTV, HDR, UI, CNN, ViT, HDMI, CI, SSIM, LPIPS, VLM, FPR, TP, FP, TN, FN expanded at first use.</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Abstract, Sect. 1, 2, 5</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R2-8</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Author names and order identical across manuscript, portal and consent form.</w:t>
            </w:r>
          </w:p>
        </w:tc>
        <w:tc>
          <w:tcPr>
            <w:tcW w:type="dxa" w:w="48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Names and order unchanged: Bhavan Kumar B R, Partha Sarathi Samal, Suresh Kumar Palus. Authors to confirm the portal and consent form match.</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Title block</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R2-9</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Full name, affiliation and email for all authors; identify the corresponding author.</w:t>
            </w:r>
          </w:p>
        </w:tc>
        <w:tc>
          <w:tcPr>
            <w:tcW w:type="dxa" w:w="48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Affiliations and emails listed under the title; Partha Sarathi Samal marked with an asterisk as corresponding author.</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Title block</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R5-1</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Prepare manuscript per Springer LNCS template.</w:t>
            </w:r>
          </w:p>
        </w:tc>
        <w:tc>
          <w:tcPr>
            <w:tcW w:type="dxa" w:w="4896"/>
            <w:tcMar>
              <w:top w:type="dxa" w:w="40"/>
              <w:left w:type="dxa" w:w="80"/>
              <w:bottom w:type="dxa" w:w="40"/>
              <w:right w:type="dxa" w:w="80"/>
            </w:tcMar>
            <w:vAlign w:val="top"/>
          </w:tcPr>
          <w:p>
            <w:r>
              <w:rPr>
                <w:sz w:val="18"/>
              </w:rPr>
              <w:t>The manuscript now uses the official Springer Proceedings Word template supplied by the organizer, including its predefined styles, page size and margins.</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Whole paper</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R5-2, R5-3</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Remove subsections from the Introduction; contributions as bullets in the second-last paragraph; organization in the last paragraph.</w:t>
            </w:r>
          </w:p>
        </w:tc>
        <w:tc>
          <w:tcPr>
            <w:tcW w:type="dxa" w:w="48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Introduction is now four paragraphs with no subsections, followed by a five-item contributions list and a closing paragraph describing the organization of the paper.</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Sect. 1</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R5-4</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Some figures appear AI-generated; redraw them.</w:t>
            </w:r>
          </w:p>
        </w:tc>
        <w:tc>
          <w:tcPr>
            <w:tcW w:type="dxa" w:w="4896"/>
            <w:tcMar>
              <w:top w:type="dxa" w:w="40"/>
              <w:left w:type="dxa" w:w="80"/>
              <w:bottom w:type="dxa" w:w="40"/>
              <w:right w:type="dxa" w:w="80"/>
            </w:tcMar>
            <w:vAlign w:val="top"/>
          </w:tcPr>
          <w:p>
            <w:r>
              <w:rPr>
                <w:sz w:val="18"/>
              </w:rPr>
              <w:t>The diagrams use programmatically drawn shapes rather than generative raster imagery. AI assistance with diagram specifications is disclosed. Authors must review this use against the conference policy.</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Figs. 1 to 8</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R5-5</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High-resolution figures (500 DPI or more).</w:t>
            </w:r>
          </w:p>
        </w:tc>
        <w:tc>
          <w:tcPr>
            <w:tcW w:type="dxa" w:w="48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See R2-4.</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Figs. 1 to 8</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R5-6</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No equations; provide the mathematical foundations.</w:t>
            </w:r>
          </w:p>
        </w:tc>
        <w:tc>
          <w:tcPr>
            <w:tcW w:type="dxa" w:w="48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Eleven numbered equations added: tone mapping and normalization (1, 2), expected element set and semantic match score (3, 4), trajectory smoothness and frame continuity (5, 6), focus score (7), element classification (8), deterministic decision rule (9), pixel-diff baseline (10) and evaluation metrics (11).</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Sect. 3, 4, 5</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R5-7</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Comparison with state-of-the-art missing.</w:t>
            </w:r>
          </w:p>
        </w:tc>
        <w:tc>
          <w:tcPr>
            <w:tcW w:type="dxa" w:w="4896"/>
            <w:tcMar>
              <w:top w:type="dxa" w:w="40"/>
              <w:left w:type="dxa" w:w="80"/>
              <w:bottom w:type="dxa" w:w="40"/>
              <w:right w:type="dxa" w:w="80"/>
            </w:tcMar>
            <w:vAlign w:val="top"/>
          </w:tcPr>
          <w:p>
            <w:r>
              <w:rPr>
                <w:sz w:val="18"/>
              </w:rPr>
              <w:t>Sections 5 and 6 compare a rule-based instantiation with pixel-diff and SSIM on a synthetic benchmark. The learned framework and current parser or vision-language systems have not been evaluated. The requested state-of-the-art numerical comparison is therefore only partially addressed.</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Sect. 5.2, 6; Tables 2 to 4</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R5-8</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Include 2025 and 2026 references; total not above 20.</w:t>
            </w:r>
          </w:p>
        </w:tc>
        <w:tc>
          <w:tcPr>
            <w:tcW w:type="dxa" w:w="4896"/>
            <w:tcMar>
              <w:top w:type="dxa" w:w="40"/>
              <w:left w:type="dxa" w:w="80"/>
              <w:bottom w:type="dxa" w:w="40"/>
              <w:right w:type="dxa" w:w="80"/>
            </w:tcMar>
            <w:vAlign w:val="top"/>
          </w:tcPr>
          <w:p>
            <w:r>
              <w:rPr>
                <w:sz w:val="18"/>
              </w:rPr>
              <w:t>The list contains 14 references, including relevant 2025 and 2026 works. Bibliographic details should be checked against final publisher records.</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References</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R5-9</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Conclusion too short; quantify results and limitations; merge future work into running text.</w:t>
            </w:r>
          </w:p>
        </w:tc>
        <w:tc>
          <w:tcPr>
            <w:tcW w:type="dxa" w:w="4896"/>
            <w:tcMar>
              <w:top w:type="dxa" w:w="40"/>
              <w:left w:type="dxa" w:w="80"/>
              <w:bottom w:type="dxa" w:w="40"/>
              <w:right w:type="dxa" w:w="80"/>
            </w:tcMar>
            <w:vAlign w:val="top"/>
          </w:tcPr>
          <w:p>
            <w:r>
              <w:rPr>
                <w:sz w:val="18"/>
              </w:rPr>
              <w:t>The conclusion reports the supplied synthetic benchmark metrics and specifies limits: no real-device data, no learned-component evaluation and only two baselines. Future work appears in running text.</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Sect. 7</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R6-1 to R6-3</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Positive remarks on the problem, the approach and the generated oracles.</w:t>
            </w:r>
          </w:p>
        </w:tc>
        <w:tc>
          <w:tcPr>
            <w:tcW w:type="dxa" w:w="48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No change required. Thank you.</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R6-4</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Abstract in a single paragraph, no italics.</w:t>
            </w:r>
          </w:p>
        </w:tc>
        <w:tc>
          <w:tcPr>
            <w:tcW w:type="dxa" w:w="48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Abstract is one paragraph in regular type.</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Abstract</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R6-5</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Do not place a section heading and a subsection heading back to back.</w:t>
            </w:r>
          </w:p>
        </w:tc>
        <w:tc>
          <w:tcPr>
            <w:tcW w:type="dxa" w:w="48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Every numbered section now opens with a short paragraph before its first subsection.</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Sect. 2, 3, 4, 5, 6</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R6-6</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Redraw Fig. 5 with rectangles, not ovals.</w:t>
            </w:r>
          </w:p>
        </w:tc>
        <w:tc>
          <w:tcPr>
            <w:tcW w:type="dxa" w:w="48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Fig. 5 redrawn with rectangular stages in two labeled layers. All other figures also use rectangles.</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Fig. 5</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R6-7</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Rescale Fig. 6 for visibility.</w:t>
            </w:r>
          </w:p>
        </w:tc>
        <w:tc>
          <w:tcPr>
            <w:tcW w:type="dxa" w:w="48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Fig. 6 redrawn as a single horizontal six-stage row at full text width.</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Fig. 6</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R6-8</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No results and discussion section.</w:t>
            </w:r>
          </w:p>
        </w:tc>
        <w:tc>
          <w:tcPr>
            <w:tcW w:type="dxa" w:w="4896"/>
            <w:tcMar>
              <w:top w:type="dxa" w:w="40"/>
              <w:left w:type="dxa" w:w="80"/>
              <w:bottom w:type="dxa" w:w="40"/>
              <w:right w:type="dxa" w:w="80"/>
            </w:tcMar>
            <w:vAlign w:val="top"/>
          </w:tcPr>
          <w:p>
            <w:r>
              <w:rPr>
                <w:sz w:val="18"/>
              </w:rPr>
              <w:t>Section 6 provides overall and per-class synthetic benchmark results, discussion and limitations. The supplied measurements require verification against the benchmark artifacts before publication.</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Sect. 5, 6</w:t>
            </w:r>
          </w:p>
        </w:tc>
      </w:tr>
      <w:tr>
        <w:trPr>
          <w:tblHeader w:val="false"/>
          <w:cantSplit/>
        </w:trPr>
        <w:tc>
          <w:tcPr>
            <w:tcW w:type="dxa" w:w="93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R6-9</w:t>
            </w:r>
          </w:p>
        </w:tc>
        <w:tc>
          <w:tcPr>
            <w:tcW w:type="dxa" w:w="30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Increase references to about 12 to 14.</w:t>
            </w:r>
          </w:p>
        </w:tc>
        <w:tc>
          <w:tcPr>
            <w:tcW w:type="dxa" w:w="4896"/>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Reference list is 14 entries.</w:t>
            </w:r>
          </w:p>
        </w:tc>
        <w:tc>
          <w:tcPr>
            <w:tcW w:type="dxa" w:w="1152"/>
            <w:tcMar>
              <w:top w:type="dxa" w:w="40"/>
              <w:left w:type="dxa" w:w="80"/>
              <w:bottom w:type="dxa" w:w="40"/>
              <w:right w:type="dxa" w:w="80"/>
            </w:tcMar>
            <w:vAlign w:val="top"/>
          </w:tcPr>
          <w:p>
            <w:pPr>
              <w:spacing w:after="20" w:before="20"/>
            </w:pPr>
            <w:r>
              <w:rPr>
                <w:rFonts w:ascii="Calibri" w:cs="Calibri" w:eastAsia="Calibri" w:hAnsi="Calibri"/>
                <w:b w:val="false"/>
                <w:bCs w:val="false"/>
                <w:sz w:val="18"/>
                <w:szCs w:val="18"/>
              </w:rPr>
              <w:t xml:space="preserve">References</w:t>
            </w:r>
          </w:p>
        </w:tc>
      </w:tr>
    </w:tbl>
    <w:p>
      <w:pPr>
        <w:spacing w:after="100" w:before="280"/>
      </w:pPr>
      <w:r>
        <w:t>Checks requiring author completion before submission</w:t>
      </w:r>
    </w:p>
    <w:p>
      <w:pPr>
        <w:spacing w:after="120"/>
      </w:pPr>
      <w:r>
        <w:t>1. Verify the synthetic benchmark results against the generator, validation tuning log and test predictions. The supplied manuscript reports completed evaluation, but these supporting artifacts were not available for independent reproduction.</w:t>
      </w:r>
    </w:p>
    <w:p>
      <w:pPr>
        <w:spacing w:after="120"/>
      </w:pPr>
      <w:r>
        <w:t>2. Obtain the final Turnitin or iThenticate report: similarity below 15% excluding bibliography and no more than 2% from one source. Check the current conference AI-content requirements.</w:t>
      </w:r>
    </w:p>
    <w:p>
      <w:pPr>
        <w:spacing w:after="120"/>
      </w:pPr>
      <w:r>
        <w:t>3. Review the AI-assistance disclosure against conference policy and secure approval of the final manuscript from all authors.</w:t>
      </w:r>
    </w:p>
    <w:p>
      <w:pPr>
        <w:spacing w:after="120"/>
      </w:pPr>
      <w:r>
        <w:t>4. Confirm the author names and order against CMT. Sign and date the Volume 1 licence, supply the full address and complete the submission declarations.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2026-09-28T20:17:23.716Z</dcterms:created>
  <dcterms:modified xsi:type="dcterms:W3CDTF">2026-09-28T20:17:23.716Z</dcterms:modified>
</cp:coreProperties>
</file>

<file path=docProps/custom.xml><?xml version="1.0" encoding="utf-8"?>
<Properties xmlns="http://schemas.openxmlformats.org/officeDocument/2006/custom-properties" xmlns:vt="http://schemas.openxmlformats.org/officeDocument/2006/docPropsVTypes"/>
</file>