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Hyrum’s Law?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Hyrum’s Law (also called the  “Law of Leaky Abstractions”) is a principle in software engineering that says: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“With a sufficient number of users of an API, it does not matter what you promise in the contract: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“all observable behaviors of your system will be depended on by somebody.”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means: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Even if you document only certain behaviors of your API, users will start relying on unintended, undocumented, or accidental behavior.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Changing these “hidden” behaviors later can break users’ code.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Google engineers shared this principle based on their own experience at scale.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example, Google’s  </w:t>
      </w:r>
      <w:r w:rsidDel="00000000" w:rsidR="00000000" w:rsidRPr="00000000">
        <w:rPr>
          <w:b w:val="1"/>
          <w:u w:val="single"/>
          <w:rtl w:val="0"/>
        </w:rPr>
        <w:t xml:space="preserve">“Cloud Storage API”</w:t>
      </w:r>
      <w:r w:rsidDel="00000000" w:rsidR="00000000" w:rsidRPr="00000000">
        <w:rPr>
          <w:rtl w:val="0"/>
        </w:rPr>
        <w:t xml:space="preserve"> had a method that returned a list of files in a bucket.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The Situation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The API contract only promised: “Returns a list of files.”  But in practice, the implementation happened to return the files sorted by filename (even though sorting was not documented).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What Happened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developers wrote applications that depended on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accidental ordering.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63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Google later optimized the backend and stopped sorting (to improve performance), thousands of applications broke.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Lesson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Even though the API did not guarantee order, users had treated the observable side-effect (sorting) as a feature. Google learned: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Every observable detail becomes a dependency.  Once released, it’s nearly impossible to remove such behavior without breaking customers.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u w:val="single"/>
          <w:rtl w:val="0"/>
        </w:rPr>
        <w:t xml:space="preserve"> Mitigation Strategies: </w:t>
      </w:r>
      <w:r w:rsidDel="00000000" w:rsidR="00000000" w:rsidRPr="00000000">
        <w:rPr>
          <w:rtl w:val="0"/>
        </w:rPr>
        <w:t xml:space="preserve">Organizations use several strategies to reduce the risks of Hyrum’s Law: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Strict API Contracts – Be explicit about guarantees.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Black-box Testing – Check what clients might depend on unintentionally.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Deprecation Policies – Provide long transition periods before removing accidental behaviors.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Feature Flags / Versioning – Allow old behavior to coexist for legacy users.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Hyrum’s Law reminds us that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Users will exploit every behavior they observe” — whether or not it was intended. Once shipped, your accidental design decisions become permanent API commitments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6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B6F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OcjM3MmXyWdtvj7c8jRfIqkrQ==">CgMxLjA4AHIhMU9NdnVkRGcyaEJ2UGpwTm8wbGxQYUNhQ3ZuV0diRXNG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2025-08-22T10:54:00Z</dcterms:created>
  <dc:creator>user</dc:creator>
</cp:coreProperties>
</file>