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Arial" w:hAnsi="Arial"/>
          <w:b/>
          <w:color w:val="0F1A30"/>
          <w:sz w:val="48"/>
        </w:rPr>
        <w:t>OviSync B2B Website Copy &amp; Content</w:t>
      </w:r>
    </w:p>
    <w:p>
      <w:pPr>
        <w:spacing w:before="0" w:after="120" w:line="276" w:lineRule="auto"/>
      </w:pPr>
      <w:r>
        <w:rPr>
          <w:rFonts w:ascii="Calibri" w:hAnsi="Calibri"/>
          <w:sz w:val="22"/>
        </w:rPr>
        <w:t>This document contains the finalized B2B copywriting for the OviSync enterprise SaaS website. The copy is structured to position OviSync as a clinical decision intelligence layer, avoiding consumer lifestyle jargon.</w:t>
      </w:r>
    </w:p>
    <w:p>
      <w:pPr>
        <w:pStyle w:val="Heading1"/>
        <w:keepNext/>
        <w:spacing w:before="180" w:after="60"/>
      </w:pPr>
      <w:r>
        <w:rPr>
          <w:rFonts w:ascii="Arial" w:hAnsi="Arial"/>
          <w:b/>
          <w:color w:val="0F1A30"/>
          <w:sz w:val="40"/>
        </w:rPr>
        <w:t>1. Homepage Copy</w:t>
      </w:r>
    </w:p>
    <w:p>
      <w:pPr>
        <w:pStyle w:val="Heading2"/>
        <w:keepNext/>
        <w:spacing w:before="180" w:after="60"/>
      </w:pPr>
      <w:r>
        <w:rPr>
          <w:rFonts w:ascii="Arial" w:hAnsi="Arial"/>
          <w:b/>
          <w:color w:val="B8A4FF"/>
          <w:sz w:val="28"/>
        </w:rPr>
        <w:t>Hero Section (The 2-Second Hook)</w:t>
      </w:r>
    </w:p>
    <w:p>
      <w:pPr>
        <w:spacing w:before="0" w:after="120" w:line="276" w:lineRule="auto"/>
      </w:pPr>
      <w:r>
        <w:rPr>
          <w:rFonts w:ascii="Calibri" w:hAnsi="Calibri"/>
          <w:b/>
          <w:sz w:val="22"/>
        </w:rPr>
        <w:t>Headline (H1): AI Decision Intelligence for IVF Clinics</w:t>
      </w:r>
    </w:p>
    <w:p>
      <w:pPr>
        <w:spacing w:before="0" w:after="120" w:line="276" w:lineRule="auto"/>
      </w:pPr>
      <w:r>
        <w:rPr>
          <w:rFonts w:ascii="Calibri" w:hAnsi="Calibri"/>
          <w:i/>
          <w:sz w:val="22"/>
        </w:rPr>
        <w:t>Subhead (Lead): Improve IVF outcomes and recovery rates using predictive clinical AI.</w:t>
      </w:r>
    </w:p>
    <w:p>
      <w:pPr>
        <w:spacing w:before="0" w:after="120" w:line="276" w:lineRule="auto"/>
      </w:pPr>
      <w:r>
        <w:rPr>
          <w:rFonts w:ascii="Calibri" w:hAnsi="Calibri"/>
          <w:sz w:val="22"/>
        </w:rPr>
        <w:t>CTA Button: Request Demo</w:t>
      </w:r>
    </w:p>
    <w:p>
      <w:pPr>
        <w:spacing w:before="0" w:after="120" w:line="276" w:lineRule="auto"/>
      </w:pPr>
      <w:r>
        <w:rPr>
          <w:rFonts w:ascii="Calibri" w:hAnsi="Calibri"/>
          <w:sz w:val="22"/>
        </w:rPr>
        <w:t>Under-the-Fold Visual: OviSync Split-View Dashboard representation. Highlights the Clinician Command Portal (timelines, charts) alongside the Patient PWA Companion (injection logs).</w:t>
      </w:r>
    </w:p>
    <w:p>
      <w:pPr>
        <w:pStyle w:val="Heading2"/>
        <w:keepNext/>
        <w:spacing w:before="180" w:after="60"/>
      </w:pPr>
      <w:r>
        <w:rPr>
          <w:rFonts w:ascii="Arial" w:hAnsi="Arial"/>
          <w:b/>
          <w:color w:val="B8A4FF"/>
          <w:sz w:val="28"/>
        </w:rPr>
        <w:t>Clinic Performance KPI Ribbon</w:t>
      </w:r>
    </w:p>
    <w:p>
      <w:pPr>
        <w:pStyle w:val="ListBullet"/>
        <w:spacing w:after="80" w:line="276" w:lineRule="auto"/>
      </w:pPr>
      <w:r>
        <w:rPr>
          <w:rFonts w:ascii="Calibri" w:hAnsi="Calibri"/>
          <w:b/>
          <w:sz w:val="22"/>
        </w:rPr>
        <w:t>120 Hours Saved/Month:</w:t>
      </w:r>
      <w:r>
        <w:rPr>
          <w:rFonts w:ascii="Calibri" w:hAnsi="Calibri"/>
          <w:sz w:val="22"/>
        </w:rPr>
        <w:t xml:space="preserve"> - Staff Time Saved (Nurse hours spent on manual alerts and tracking).</w:t>
      </w:r>
    </w:p>
    <w:p>
      <w:pPr>
        <w:pStyle w:val="ListBullet"/>
        <w:spacing w:after="80" w:line="276" w:lineRule="auto"/>
      </w:pPr>
      <w:r>
        <w:rPr>
          <w:rFonts w:ascii="Calibri" w:hAnsi="Calibri"/>
          <w:b/>
          <w:sz w:val="22"/>
        </w:rPr>
        <w:t>-42% Decrease:</w:t>
      </w:r>
      <w:r>
        <w:rPr>
          <w:rFonts w:ascii="Calibri" w:hAnsi="Calibri"/>
          <w:sz w:val="22"/>
        </w:rPr>
        <w:t xml:space="preserve"> - Canceled Cycle Dropouts (Reducing patient non-compliance cancellation risks).</w:t>
      </w:r>
    </w:p>
    <w:p>
      <w:pPr>
        <w:pStyle w:val="ListBullet"/>
        <w:spacing w:after="80" w:line="276" w:lineRule="auto"/>
      </w:pPr>
      <w:r>
        <w:rPr>
          <w:rFonts w:ascii="Calibri" w:hAnsi="Calibri"/>
          <w:b/>
          <w:sz w:val="22"/>
        </w:rPr>
        <w:t>5.4x ROI:</w:t>
      </w:r>
      <w:r>
        <w:rPr>
          <w:rFonts w:ascii="Calibri" w:hAnsi="Calibri"/>
          <w:sz w:val="22"/>
        </w:rPr>
        <w:t xml:space="preserve"> - Average Software ROI (Calculated against recovered cycle revenues).</w:t>
      </w:r>
    </w:p>
    <w:p>
      <w:pPr>
        <w:pStyle w:val="Heading2"/>
        <w:keepNext/>
        <w:spacing w:before="180" w:after="60"/>
      </w:pPr>
      <w:r>
        <w:rPr>
          <w:rFonts w:ascii="Arial" w:hAnsi="Arial"/>
          <w:b/>
          <w:color w:val="B8A4FF"/>
          <w:sz w:val="28"/>
        </w:rPr>
        <w:t>The Data Pipeline (How It Works)</w:t>
      </w:r>
    </w:p>
    <w:p>
      <w:pPr>
        <w:pStyle w:val="ListBullet"/>
        <w:spacing w:after="80" w:line="276" w:lineRule="auto"/>
      </w:pPr>
      <w:r>
        <w:rPr>
          <w:rFonts w:ascii="Calibri" w:hAnsi="Calibri"/>
          <w:b/>
          <w:sz w:val="22"/>
        </w:rPr>
        <w:t>Step 1: Patient Data Logs —</w:t>
      </w:r>
      <w:r>
        <w:rPr>
          <w:rFonts w:ascii="Calibri" w:hAnsi="Calibri"/>
          <w:sz w:val="22"/>
        </w:rPr>
        <w:t xml:space="preserve"> - Medication compliance scans, barcode matches, calendar updates, and patient anxiety triage logs generated via Patient PWA.</w:t>
      </w:r>
    </w:p>
    <w:p>
      <w:pPr>
        <w:pStyle w:val="ListBullet"/>
        <w:spacing w:after="80" w:line="276" w:lineRule="auto"/>
      </w:pPr>
      <w:r>
        <w:rPr>
          <w:rFonts w:ascii="Calibri" w:hAnsi="Calibri"/>
          <w:b/>
          <w:sz w:val="22"/>
        </w:rPr>
        <w:t>Step 2: OviSync AI Engine —</w:t>
      </w:r>
      <w:r>
        <w:rPr>
          <w:rFonts w:ascii="Calibri" w:hAnsi="Calibri"/>
          <w:sz w:val="22"/>
        </w:rPr>
        <w:t xml:space="preserve"> - Machine learning models analyze follicular progression and adherence deviations, forecasting cancellation risk parameters.</w:t>
      </w:r>
    </w:p>
    <w:p>
      <w:pPr>
        <w:pStyle w:val="ListBullet"/>
        <w:spacing w:after="80" w:line="276" w:lineRule="auto"/>
      </w:pPr>
      <w:r>
        <w:rPr>
          <w:rFonts w:ascii="Calibri" w:hAnsi="Calibri"/>
          <w:b/>
          <w:sz w:val="22"/>
        </w:rPr>
        <w:t>Step 3: Clinician Command Portal —</w:t>
      </w:r>
      <w:r>
        <w:rPr>
          <w:rFonts w:ascii="Calibri" w:hAnsi="Calibri"/>
          <w:sz w:val="22"/>
        </w:rPr>
        <w:t xml:space="preserve"> - Risk alerts populate the EMR-synced dashboard in real time, drawing immediate attention to critical patient deviations.</w:t>
      </w:r>
    </w:p>
    <w:p>
      <w:pPr>
        <w:pStyle w:val="ListBullet"/>
        <w:spacing w:after="80" w:line="276" w:lineRule="auto"/>
      </w:pPr>
      <w:r>
        <w:rPr>
          <w:rFonts w:ascii="Calibri" w:hAnsi="Calibri"/>
          <w:b/>
          <w:sz w:val="22"/>
        </w:rPr>
        <w:t>Step 4: Proactive Medical Triage —</w:t>
      </w:r>
      <w:r>
        <w:rPr>
          <w:rFonts w:ascii="Calibri" w:hAnsi="Calibri"/>
          <w:sz w:val="22"/>
        </w:rPr>
        <w:t xml:space="preserve"> - Clinic nurses or clinical care teams initiate proactive dose adjustment, schedule modifications, or counseling.</w:t>
      </w:r>
    </w:p>
    <w:p>
      <w:pPr>
        <w:pStyle w:val="Heading2"/>
        <w:keepNext/>
        <w:spacing w:before="180" w:after="60"/>
      </w:pPr>
      <w:r>
        <w:rPr>
          <w:rFonts w:ascii="Arial" w:hAnsi="Arial"/>
          <w:b/>
          <w:color w:val="B8A4FF"/>
          <w:sz w:val="28"/>
        </w:rPr>
        <w:t>Clinical Testimonial Panel</w:t>
      </w:r>
    </w:p>
    <w:p>
      <w:pPr>
        <w:spacing w:before="0" w:after="120" w:line="276" w:lineRule="auto"/>
        <w:ind w:left="720"/>
      </w:pPr>
      <w:r>
        <w:rPr>
          <w:rFonts w:ascii="Calibri" w:hAnsi="Calibri"/>
          <w:i/>
          <w:sz w:val="22"/>
        </w:rPr>
        <w:t>“OviSync transformed our nursing workflow. Before deployment, our clinic spent dozens of hours weekly calling patients to check protocol compliance. OviSync automate adherence alerts, allowing us to recover canceled cycles and save over 100 hours of nurse labor each month.”</w:t>
      </w:r>
    </w:p>
    <w:p>
      <w:pPr>
        <w:spacing w:before="0" w:after="120" w:line="276" w:lineRule="auto"/>
        <w:ind w:left="720"/>
      </w:pPr>
      <w:r>
        <w:rPr>
          <w:rFonts w:ascii="Calibri" w:hAnsi="Calibri"/>
          <w:sz w:val="22"/>
        </w:rPr>
        <w:t>— Clinical Director, Denver Reproductive Science Laboratory</w:t>
      </w:r>
    </w:p>
    <w:p>
      <w:pPr>
        <w:pStyle w:val="Heading1"/>
        <w:keepNext/>
        <w:spacing w:before="180" w:after="60"/>
      </w:pPr>
      <w:r>
        <w:rPr>
          <w:rFonts w:ascii="Arial" w:hAnsi="Arial"/>
          <w:b/>
          <w:color w:val="0F1A30"/>
          <w:sz w:val="40"/>
        </w:rPr>
        <w:t>2. About Us Copy</w:t>
      </w:r>
    </w:p>
    <w:p>
      <w:pPr>
        <w:spacing w:before="0" w:after="120" w:line="276" w:lineRule="auto"/>
      </w:pPr>
      <w:r>
        <w:rPr>
          <w:rFonts w:ascii="Calibri" w:hAnsi="Calibri"/>
          <w:b/>
          <w:sz w:val="22"/>
        </w:rPr>
        <w:t>H1 Title: The Clinical Layer for Assisted Reproduction</w:t>
      </w:r>
    </w:p>
    <w:p>
      <w:pPr>
        <w:spacing w:before="0" w:after="120" w:line="276" w:lineRule="auto"/>
      </w:pPr>
      <w:r>
        <w:rPr>
          <w:rFonts w:ascii="Calibri" w:hAnsi="Calibri"/>
          <w:sz w:val="22"/>
        </w:rPr>
        <w:t>Mission Statement: OviSync's mission is to synchronize clinical intelligence and patient care, reducing canceled IVF cycles and optimizing laboratory workflows through secure, real-time predictive AI.</w:t>
      </w:r>
    </w:p>
    <w:p>
      <w:pPr>
        <w:spacing w:before="0" w:after="120" w:line="276" w:lineRule="auto"/>
      </w:pPr>
      <w:r>
        <w:rPr>
          <w:rFonts w:ascii="Calibri" w:hAnsi="Calibri"/>
          <w:sz w:val="22"/>
        </w:rPr>
        <w:t>Unlike consumer fertility apps, OviSync is built strictly as an enterprise clinical layer. We understand that IVF success depends on precise protocol adherence, exact lab-to-patient scheduling alignment, and timely triage response. By connecting patient adherence tracking with EMR environments, we ensure that care teams and embryologists have a single, secure, synchronized dashboard to manage cycles.</w:t>
      </w:r>
    </w:p>
    <w:p>
      <w:pPr>
        <w:pStyle w:val="Heading2"/>
        <w:keepNext/>
        <w:spacing w:before="180" w:after="60"/>
      </w:pPr>
      <w:r>
        <w:rPr>
          <w:rFonts w:ascii="Arial" w:hAnsi="Arial"/>
          <w:b/>
          <w:color w:val="B8A4FF"/>
          <w:sz w:val="28"/>
        </w:rPr>
        <w:t>Security &amp; Compliance Positioning</w:t>
      </w:r>
    </w:p>
    <w:p>
      <w:pPr>
        <w:spacing w:before="0" w:after="120" w:line="276" w:lineRule="auto"/>
      </w:pPr>
      <w:r>
        <w:rPr>
          <w:rFonts w:ascii="Calibri" w:hAnsi="Calibri"/>
          <w:sz w:val="22"/>
        </w:rPr>
        <w:t>OviSync is built to meet the most stringent healthcare data protection standards. Patient records and clinical logs are safeguarded through:</w:t>
      </w:r>
    </w:p>
    <w:p>
      <w:pPr>
        <w:pStyle w:val="ListBullet"/>
        <w:spacing w:after="80" w:line="276" w:lineRule="auto"/>
      </w:pPr>
      <w:r>
        <w:rPr>
          <w:rFonts w:ascii="Calibri" w:hAnsi="Calibri"/>
          <w:b/>
          <w:sz w:val="22"/>
        </w:rPr>
        <w:t>HIPAA Compliant:</w:t>
      </w:r>
      <w:r>
        <w:rPr>
          <w:rFonts w:ascii="Calibri" w:hAnsi="Calibri"/>
          <w:sz w:val="22"/>
        </w:rPr>
        <w:t xml:space="preserve"> - Full compliance with Health Insurance Portability and Accountability Act guidelines.</w:t>
      </w:r>
    </w:p>
    <w:p>
      <w:pPr>
        <w:pStyle w:val="ListBullet"/>
        <w:spacing w:after="80" w:line="276" w:lineRule="auto"/>
      </w:pPr>
      <w:r>
        <w:rPr>
          <w:rFonts w:ascii="Calibri" w:hAnsi="Calibri"/>
          <w:b/>
          <w:sz w:val="22"/>
        </w:rPr>
        <w:t>SOC2 Type II Certified:</w:t>
      </w:r>
      <w:r>
        <w:rPr>
          <w:rFonts w:ascii="Calibri" w:hAnsi="Calibri"/>
          <w:sz w:val="22"/>
        </w:rPr>
        <w:t xml:space="preserve"> - Verified system controls for data security, availability, and privacy.</w:t>
      </w:r>
    </w:p>
    <w:p>
      <w:pPr>
        <w:pStyle w:val="ListBullet"/>
        <w:spacing w:after="80" w:line="276" w:lineRule="auto"/>
      </w:pPr>
      <w:r>
        <w:rPr>
          <w:rFonts w:ascii="Calibri" w:hAnsi="Calibri"/>
          <w:b/>
          <w:sz w:val="22"/>
        </w:rPr>
        <w:t>Military-Grade Encryption:</w:t>
      </w:r>
      <w:r>
        <w:rPr>
          <w:rFonts w:ascii="Calibri" w:hAnsi="Calibri"/>
          <w:sz w:val="22"/>
        </w:rPr>
        <w:t xml:space="preserve"> - AES-256 encryption at rest and TLS 1.3 encryption in transit.</w:t>
      </w:r>
    </w:p>
    <w:p>
      <w:pPr>
        <w:pStyle w:val="Heading1"/>
        <w:keepNext/>
        <w:spacing w:before="180" w:after="60"/>
      </w:pPr>
      <w:r>
        <w:rPr>
          <w:rFonts w:ascii="Arial" w:hAnsi="Arial"/>
          <w:b/>
          <w:color w:val="0F1A30"/>
          <w:sz w:val="40"/>
        </w:rPr>
        <w:t>3. Platform Overview Copy</w:t>
      </w:r>
    </w:p>
    <w:p>
      <w:pPr>
        <w:spacing w:before="0" w:after="120" w:line="276" w:lineRule="auto"/>
      </w:pPr>
      <w:r>
        <w:rPr>
          <w:rFonts w:ascii="Calibri" w:hAnsi="Calibri"/>
          <w:b/>
          <w:sz w:val="22"/>
        </w:rPr>
        <w:t>H1 Title: Enterprise Clinical Integration</w:t>
      </w:r>
    </w:p>
    <w:p>
      <w:pPr>
        <w:spacing w:before="0" w:after="120" w:line="276" w:lineRule="auto"/>
      </w:pPr>
      <w:r>
        <w:rPr>
          <w:rFonts w:ascii="Calibri" w:hAnsi="Calibri"/>
          <w:sz w:val="22"/>
        </w:rPr>
        <w:t>The OviSync platform bridges the gap between outpatient adherence tracking and the clinical EMR. We eliminate manual phone tracking and protocol compliance blindspots by deploying a bidirectional data synchronization network.</w:t>
      </w:r>
    </w:p>
    <w:p>
      <w:pPr>
        <w:pStyle w:val="Heading2"/>
        <w:keepNext/>
        <w:spacing w:before="180" w:after="60"/>
      </w:pPr>
      <w:r>
        <w:rPr>
          <w:rFonts w:ascii="Arial" w:hAnsi="Arial"/>
          <w:b/>
          <w:color w:val="B8A4FF"/>
          <w:sz w:val="28"/>
        </w:rPr>
        <w:t>Technical Integration Pillars</w:t>
      </w:r>
    </w:p>
    <w:p>
      <w:pPr>
        <w:pStyle w:val="ListBullet"/>
        <w:spacing w:after="80" w:line="276" w:lineRule="auto"/>
      </w:pPr>
      <w:r>
        <w:rPr>
          <w:rFonts w:ascii="Calibri" w:hAnsi="Calibri"/>
          <w:b/>
          <w:sz w:val="22"/>
        </w:rPr>
        <w:t>Bidirectional EMR Sync:</w:t>
      </w:r>
      <w:r>
        <w:rPr>
          <w:rFonts w:ascii="Calibri" w:hAnsi="Calibri"/>
          <w:sz w:val="22"/>
        </w:rPr>
        <w:t xml:space="preserve"> - Direct, native data sync with leading EMR databases including MedITEX, Ideas, eFertility, and Epic Systems.</w:t>
      </w:r>
    </w:p>
    <w:p>
      <w:pPr>
        <w:pStyle w:val="ListBullet"/>
        <w:spacing w:after="80" w:line="276" w:lineRule="auto"/>
      </w:pPr>
      <w:r>
        <w:rPr>
          <w:rFonts w:ascii="Calibri" w:hAnsi="Calibri"/>
          <w:b/>
          <w:sz w:val="22"/>
        </w:rPr>
        <w:t>HL7 v2 Data Feed:</w:t>
      </w:r>
      <w:r>
        <w:rPr>
          <w:rFonts w:ascii="Calibri" w:hAnsi="Calibri"/>
          <w:sz w:val="22"/>
        </w:rPr>
        <w:t xml:space="preserve"> - Real-time patient compliance and follicular response data streams delivered via standard HL7 messages.</w:t>
      </w:r>
    </w:p>
    <w:p>
      <w:pPr>
        <w:pStyle w:val="ListBullet"/>
        <w:spacing w:after="80" w:line="276" w:lineRule="auto"/>
      </w:pPr>
      <w:r>
        <w:rPr>
          <w:rFonts w:ascii="Calibri" w:hAnsi="Calibri"/>
          <w:b/>
          <w:sz w:val="22"/>
        </w:rPr>
        <w:t>FHIR APIs:</w:t>
      </w:r>
      <w:r>
        <w:rPr>
          <w:rFonts w:ascii="Calibri" w:hAnsi="Calibri"/>
          <w:sz w:val="22"/>
        </w:rPr>
        <w:t xml:space="preserve"> - Secure, RESTful endpoints compliant with Fast Healthcare Interoperability Resources (FHIR) specifications.</w:t>
      </w:r>
    </w:p>
    <w:p>
      <w:pPr>
        <w:pStyle w:val="ListBullet"/>
        <w:spacing w:after="80" w:line="276" w:lineRule="auto"/>
      </w:pPr>
      <w:r>
        <w:rPr>
          <w:rFonts w:ascii="Calibri" w:hAnsi="Calibri"/>
          <w:b/>
          <w:sz w:val="22"/>
        </w:rPr>
        <w:t>Regional Data Residency:</w:t>
      </w:r>
      <w:r>
        <w:rPr>
          <w:rFonts w:ascii="Calibri" w:hAnsi="Calibri"/>
          <w:sz w:val="22"/>
        </w:rPr>
        <w:t xml:space="preserve"> - Dedicated regional servers (US, EU, GCC) to satisfy local data hosting and residency requirements.</w:t>
      </w:r>
    </w:p>
    <w:p>
      <w:pPr>
        <w:pStyle w:val="Heading1"/>
        <w:keepNext/>
        <w:spacing w:before="180" w:after="60"/>
      </w:pPr>
      <w:r>
        <w:rPr>
          <w:rFonts w:ascii="Arial" w:hAnsi="Arial"/>
          <w:b/>
          <w:color w:val="0F1A30"/>
          <w:sz w:val="40"/>
        </w:rPr>
        <w:t>4. AI Features Copy</w:t>
      </w:r>
    </w:p>
    <w:p>
      <w:pPr>
        <w:spacing w:before="0" w:after="120" w:line="276" w:lineRule="auto"/>
      </w:pPr>
      <w:r>
        <w:rPr>
          <w:rFonts w:ascii="Calibri" w:hAnsi="Calibri"/>
          <w:b/>
          <w:sz w:val="22"/>
        </w:rPr>
        <w:t>H1 Title: Clinical AI Engine Capabilities</w:t>
      </w:r>
    </w:p>
    <w:p>
      <w:pPr>
        <w:pStyle w:val="Heading2"/>
        <w:keepNext/>
        <w:spacing w:before="180" w:after="60"/>
      </w:pPr>
      <w:r>
        <w:rPr>
          <w:rFonts w:ascii="Arial" w:hAnsi="Arial"/>
          <w:b/>
          <w:color w:val="B8A4FF"/>
          <w:sz w:val="28"/>
        </w:rPr>
        <w:t>A. IVF Cycle Prediction AI</w:t>
      </w:r>
    </w:p>
    <w:p>
      <w:pPr>
        <w:spacing w:before="0" w:after="120" w:line="276" w:lineRule="auto"/>
      </w:pPr>
      <w:r>
        <w:rPr>
          <w:rFonts w:ascii="Calibri" w:hAnsi="Calibri"/>
          <w:sz w:val="22"/>
        </w:rPr>
        <w:t>OviSync's cycle prediction model analyzes follicular growth curves and patient compliance history. By monitoring medication logs and baseline scan progress, the model forecasts cancellation risks days before the trigger window. This allows the care team to intervene and salvage cycles that would otherwise be lost to patient non-adherence.</w:t>
      </w:r>
    </w:p>
    <w:p>
      <w:pPr>
        <w:pStyle w:val="Heading2"/>
        <w:keepNext/>
        <w:spacing w:before="180" w:after="60"/>
      </w:pPr>
      <w:r>
        <w:rPr>
          <w:rFonts w:ascii="Arial" w:hAnsi="Arial"/>
          <w:b/>
          <w:color w:val="B8A4FF"/>
          <w:sz w:val="28"/>
        </w:rPr>
        <w:t>B. Embryology Intelligence</w:t>
      </w:r>
    </w:p>
    <w:p>
      <w:pPr>
        <w:spacing w:before="0" w:after="120" w:line="276" w:lineRule="auto"/>
      </w:pPr>
      <w:r>
        <w:rPr>
          <w:rFonts w:ascii="Calibri" w:hAnsi="Calibri"/>
          <w:sz w:val="22"/>
        </w:rPr>
        <w:t>Our laboratory AI system monitors time-lapse cell division morphokinetics. By analyzing division speeds and blastocyst cleavage timings (e.g., t8 cleavage intervals), the model scores and grades embryos (e.g., Model Grade A1, B2). This provides embryologists with objective, standardized decision support to guide selection and transfer workflows.</w:t>
      </w:r>
    </w:p>
    <w:p>
      <w:pPr>
        <w:pStyle w:val="Heading2"/>
        <w:keepNext/>
        <w:spacing w:before="180" w:after="60"/>
      </w:pPr>
      <w:r>
        <w:rPr>
          <w:rFonts w:ascii="Arial" w:hAnsi="Arial"/>
          <w:b/>
          <w:color w:val="B8A4FF"/>
          <w:sz w:val="28"/>
        </w:rPr>
        <w:t>C. Treatment Dose Optimization</w:t>
      </w:r>
    </w:p>
    <w:p>
      <w:pPr>
        <w:spacing w:before="0" w:after="120" w:line="276" w:lineRule="auto"/>
      </w:pPr>
      <w:r>
        <w:rPr>
          <w:rFonts w:ascii="Calibri" w:hAnsi="Calibri"/>
          <w:sz w:val="22"/>
        </w:rPr>
        <w:t>The stimulation adjuster model processes patient hormone levels (LH, E2, P4) and ultrasound follicle progression against historic patient cohorts. It simulates stimulation curves to suggest optimized medication adjustments (Gonal-F, Menopur, Cetrotide), helping clinical teams minimize OHSS risks and maximize mature oocyte counts.</w:t>
      </w:r>
    </w:p>
    <w:p>
      <w:pPr>
        <w:pStyle w:val="Heading2"/>
        <w:keepNext/>
        <w:spacing w:before="180" w:after="60"/>
      </w:pPr>
      <w:r>
        <w:rPr>
          <w:rFonts w:ascii="Arial" w:hAnsi="Arial"/>
          <w:b/>
          <w:color w:val="B8A4FF"/>
          <w:sz w:val="28"/>
        </w:rPr>
        <w:t>D. Clinic Performance Analytics</w:t>
      </w:r>
    </w:p>
    <w:p>
      <w:pPr>
        <w:spacing w:before="0" w:after="120" w:line="276" w:lineRule="auto"/>
      </w:pPr>
      <w:r>
        <w:rPr>
          <w:rFonts w:ascii="Calibri" w:hAnsi="Calibri"/>
          <w:sz w:val="22"/>
        </w:rPr>
        <w:t>OviSync maps operational metrics across your entire network. Clinic chiefs and lab directors can track staff hours saved, protocol compliance rates, cycle cancellation recovery margins, and system integration speeds. This data compiles into a secure, boardroom-ready dashboard demonstrating operational ROI.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