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0F1A30"/>
          <w:sz w:val="48"/>
        </w:rPr>
        <w:t>OviSync B2B Website Sitemap &amp; Architecture</w:t>
      </w:r>
    </w:p>
    <w:p>
      <w:pPr>
        <w:spacing w:before="0" w:after="120" w:line="276" w:lineRule="auto"/>
      </w:pPr>
      <w:r>
        <w:rPr>
          <w:rFonts w:ascii="Calibri" w:hAnsi="Calibri"/>
          <w:sz w:val="22"/>
        </w:rPr>
        <w:t>This document outlines the complete page hierarchy, database schemas, and integration points for the OviSync B2B enterprise SaaS website. The sitemap is designed to optimize clinical lead conversion and position OviSync as a secure clinical decision support layer.</w:t>
      </w:r>
    </w:p>
    <w:p>
      <w:pPr>
        <w:pStyle w:val="Heading1"/>
        <w:keepNext/>
        <w:spacing w:before="180" w:after="60"/>
      </w:pPr>
      <w:r>
        <w:rPr>
          <w:rFonts w:ascii="Arial" w:hAnsi="Arial"/>
          <w:b/>
          <w:color w:val="0F1A30"/>
          <w:sz w:val="40"/>
        </w:rPr>
        <w:t>1. Site Structure &amp; Navigation Hierarchy</w:t>
      </w:r>
    </w:p>
    <w:p>
      <w:pPr>
        <w:spacing w:before="0" w:after="120" w:line="276" w:lineRule="auto"/>
      </w:pPr>
      <w:r>
        <w:rPr>
          <w:rFonts w:ascii="Calibri" w:hAnsi="Calibri"/>
          <w:sz w:val="22"/>
        </w:rPr>
        <w:t>OviSync is structured as a multi-page enterprise site mapping clinical capabilities, solution sizes, and validation data:</w:t>
      </w:r>
    </w:p>
    <w:p>
      <w:pPr>
        <w:pStyle w:val="ListBullet"/>
        <w:spacing w:after="80" w:line="276" w:lineRule="auto"/>
      </w:pPr>
      <w:r>
        <w:rPr>
          <w:rFonts w:ascii="Calibri" w:hAnsi="Calibri"/>
          <w:b/>
          <w:sz w:val="22"/>
        </w:rPr>
        <w:t>Homepage (Root) /</w:t>
      </w:r>
      <w:r>
        <w:rPr>
          <w:rFonts w:ascii="Calibri" w:hAnsi="Calibri"/>
          <w:sz w:val="22"/>
        </w:rPr>
        <w:t xml:space="preserve"> - Main Entrypoint for clinical buyers. Houses the 2-second value prop, interactive split-view dashboard, high-impact clinical KPIs, outcomes highlight, and the demo registration request portal.</w:t>
      </w:r>
    </w:p>
    <w:p>
      <w:pPr>
        <w:pStyle w:val="ListBullet"/>
        <w:spacing w:after="80" w:line="276" w:lineRule="auto"/>
      </w:pPr>
      <w:r>
        <w:rPr>
          <w:rFonts w:ascii="Calibri" w:hAnsi="Calibri"/>
          <w:b/>
          <w:sz w:val="22"/>
        </w:rPr>
        <w:t>Platform Overview (Dynamic Page) /</w:t>
      </w:r>
      <w:r>
        <w:rPr>
          <w:rFonts w:ascii="Calibri" w:hAnsi="Calibri"/>
          <w:sz w:val="22"/>
        </w:rPr>
        <w:t xml:space="preserve"> - Comprehensive description of the integration environment (FHIR APIs, HL7 feeds), EMR vendor synchronization (Epic, MedITEX, Ideas, eFertility), data security architecture, and SOC2/HIPAA standards.</w:t>
      </w:r>
    </w:p>
    <w:p>
      <w:pPr>
        <w:pStyle w:val="ListBullet"/>
        <w:spacing w:after="80" w:line="276" w:lineRule="auto"/>
      </w:pPr>
      <w:r>
        <w:rPr>
          <w:rFonts w:ascii="Calibri" w:hAnsi="Calibri"/>
          <w:b/>
          <w:sz w:val="22"/>
        </w:rPr>
        <w:t>Clinical AI Features (Repeater Grid &amp; Dynamic Template) /</w:t>
      </w:r>
      <w:r>
        <w:rPr>
          <w:rFonts w:ascii="Calibri" w:hAnsi="Calibri"/>
          <w:sz w:val="22"/>
        </w:rPr>
        <w:t xml:space="preserve"> - Deep-dive dynamic pages for each key clinical tool (Cycle Prediction AI, Embryology Division tracking, Stimulation Adjuster). Linked directly from features datasets.</w:t>
      </w:r>
    </w:p>
    <w:p>
      <w:pPr>
        <w:pStyle w:val="ListBullet"/>
        <w:spacing w:after="80" w:line="276" w:lineRule="auto"/>
      </w:pPr>
      <w:r>
        <w:rPr>
          <w:rFonts w:ascii="Calibri" w:hAnsi="Calibri"/>
          <w:b/>
          <w:sz w:val="22"/>
        </w:rPr>
        <w:t>Solutions (Dropdown Section) /</w:t>
      </w:r>
      <w:r>
        <w:rPr>
          <w:rFonts w:ascii="Calibri" w:hAnsi="Calibri"/>
          <w:sz w:val="22"/>
        </w:rPr>
        <w:t xml:space="preserve"> - Segmentation landing pages targeting Single Practice, Mid-size Networks, and University/Academic Laboratory Networks.</w:t>
      </w:r>
    </w:p>
    <w:p>
      <w:pPr>
        <w:pStyle w:val="ListBullet"/>
        <w:spacing w:after="80" w:line="276" w:lineRule="auto"/>
      </w:pPr>
      <w:r>
        <w:rPr>
          <w:rFonts w:ascii="Calibri" w:hAnsi="Calibri"/>
          <w:b/>
          <w:sz w:val="22"/>
        </w:rPr>
        <w:t>Insights &amp; Outcomes (Case Studies Archive) /</w:t>
      </w:r>
      <w:r>
        <w:rPr>
          <w:rFonts w:ascii="Calibri" w:hAnsi="Calibri"/>
          <w:sz w:val="22"/>
        </w:rPr>
        <w:t xml:space="preserve"> - Dedicated index of clinical studies, PubMed citations, recovered cycle ROI metrics, and outpatient trials.</w:t>
      </w:r>
    </w:p>
    <w:p>
      <w:pPr>
        <w:pStyle w:val="ListBullet"/>
        <w:spacing w:after="80" w:line="276" w:lineRule="auto"/>
      </w:pPr>
      <w:r>
        <w:rPr>
          <w:rFonts w:ascii="Calibri" w:hAnsi="Calibri"/>
          <w:b/>
          <w:sz w:val="22"/>
        </w:rPr>
        <w:t>About Us (Company Page) /</w:t>
      </w:r>
      <w:r>
        <w:rPr>
          <w:rFonts w:ascii="Calibri" w:hAnsi="Calibri"/>
          <w:sz w:val="22"/>
        </w:rPr>
        <w:t xml:space="preserve"> - Company history, executive overview, list of medical and clinical advisors, and contact registries.</w:t>
      </w:r>
    </w:p>
    <w:p>
      <w:pPr>
        <w:pStyle w:val="ListBullet"/>
        <w:spacing w:after="80" w:line="276" w:lineRule="auto"/>
      </w:pPr>
      <w:r>
        <w:rPr>
          <w:rFonts w:ascii="Calibri" w:hAnsi="Calibri"/>
          <w:b/>
          <w:sz w:val="22"/>
        </w:rPr>
        <w:t>Request Demo (Funnel Landing Page) /</w:t>
      </w:r>
      <w:r>
        <w:rPr>
          <w:rFonts w:ascii="Calibri" w:hAnsi="Calibri"/>
          <w:sz w:val="22"/>
        </w:rPr>
        <w:t xml:space="preserve"> - High-conversion demo funnel collecting EMR details, cycle volume, integration checkpoints, and hosting preferences. Connected directly to sales CRMs.</w:t>
      </w:r>
    </w:p>
    <w:p>
      <w:pPr>
        <w:pStyle w:val="Heading1"/>
        <w:keepNext/>
        <w:spacing w:before="180" w:after="60"/>
      </w:pPr>
      <w:r>
        <w:rPr>
          <w:rFonts w:ascii="Arial" w:hAnsi="Arial"/>
          <w:b/>
          <w:color w:val="0F1A30"/>
          <w:sz w:val="40"/>
        </w:rPr>
        <w:t>2. Wix CMS Datasets &amp; Database Collections</w:t>
      </w:r>
    </w:p>
    <w:p>
      <w:pPr>
        <w:spacing w:before="0" w:after="120" w:line="276" w:lineRule="auto"/>
      </w:pPr>
      <w:r>
        <w:rPr>
          <w:rFonts w:ascii="Calibri" w:hAnsi="Calibri"/>
          <w:sz w:val="22"/>
        </w:rPr>
        <w:t>To enable dynamic updates, the Wix build integrates three core CMS datasets:</w:t>
      </w:r>
    </w:p>
    <w:p>
      <w:pPr>
        <w:pStyle w:val="Heading2"/>
        <w:keepNext/>
        <w:spacing w:before="180" w:after="60"/>
      </w:pPr>
      <w:r>
        <w:rPr>
          <w:rFonts w:ascii="Arial" w:hAnsi="Arial"/>
          <w:b/>
          <w:color w:val="B8A4FF"/>
          <w:sz w:val="28"/>
        </w:rPr>
        <w:t>Collection A: AI_Features</w:t>
      </w:r>
    </w:p>
    <w:p>
      <w:pPr>
        <w:pStyle w:val="ListBullet"/>
        <w:spacing w:after="80" w:line="276" w:lineRule="auto"/>
      </w:pPr>
      <w:r>
        <w:rPr>
          <w:rFonts w:ascii="Calibri" w:hAnsi="Calibri"/>
          <w:b/>
          <w:sz w:val="22"/>
        </w:rPr>
        <w:t>title [Text]:</w:t>
      </w:r>
      <w:r>
        <w:rPr>
          <w:rFonts w:ascii="Calibri" w:hAnsi="Calibri"/>
          <w:sz w:val="22"/>
        </w:rPr>
        <w:t xml:space="preserve"> - The feature name (e.g., Cycle Adherence Engine).</w:t>
      </w:r>
    </w:p>
    <w:p>
      <w:pPr>
        <w:pStyle w:val="ListBullet"/>
        <w:spacing w:after="80" w:line="276" w:lineRule="auto"/>
      </w:pPr>
      <w:r>
        <w:rPr>
          <w:rFonts w:ascii="Calibri" w:hAnsi="Calibri"/>
          <w:b/>
          <w:sz w:val="22"/>
        </w:rPr>
        <w:t>tagline [Text]:</w:t>
      </w:r>
      <w:r>
        <w:rPr>
          <w:rFonts w:ascii="Calibri" w:hAnsi="Calibri"/>
          <w:sz w:val="22"/>
        </w:rPr>
        <w:t xml:space="preserve"> - A concise clinical benefit tagline (e.g., Prevents cycle cancelation risk).</w:t>
      </w:r>
    </w:p>
    <w:p>
      <w:pPr>
        <w:pStyle w:val="ListBullet"/>
        <w:spacing w:after="80" w:line="276" w:lineRule="auto"/>
      </w:pPr>
      <w:r>
        <w:rPr>
          <w:rFonts w:ascii="Calibri" w:hAnsi="Calibri"/>
          <w:b/>
          <w:sz w:val="22"/>
        </w:rPr>
        <w:t>mockupImage [Image]:</w:t>
      </w:r>
      <w:r>
        <w:rPr>
          <w:rFonts w:ascii="Calibri" w:hAnsi="Calibri"/>
          <w:sz w:val="22"/>
        </w:rPr>
        <w:t xml:space="preserve"> - High-fidelity clinical dashboard visual capture.</w:t>
      </w:r>
    </w:p>
    <w:p>
      <w:pPr>
        <w:pStyle w:val="ListBullet"/>
        <w:spacing w:after="80" w:line="276" w:lineRule="auto"/>
      </w:pPr>
      <w:r>
        <w:rPr>
          <w:rFonts w:ascii="Calibri" w:hAnsi="Calibri"/>
          <w:b/>
          <w:sz w:val="22"/>
        </w:rPr>
        <w:t>metricKpi [Text]:</w:t>
      </w:r>
      <w:r>
        <w:rPr>
          <w:rFonts w:ascii="Calibri" w:hAnsi="Calibri"/>
          <w:sz w:val="22"/>
        </w:rPr>
        <w:t xml:space="preserve"> - Target outcome value (e.g., 94% compliance).</w:t>
      </w:r>
    </w:p>
    <w:p>
      <w:pPr>
        <w:pStyle w:val="ListBullet"/>
        <w:spacing w:after="80" w:line="276" w:lineRule="auto"/>
      </w:pPr>
      <w:r>
        <w:rPr>
          <w:rFonts w:ascii="Calibri" w:hAnsi="Calibri"/>
          <w:b/>
          <w:sz w:val="22"/>
        </w:rPr>
        <w:t>emrFhirReady [Boolean]:</w:t>
      </w:r>
      <w:r>
        <w:rPr>
          <w:rFonts w:ascii="Calibri" w:hAnsi="Calibri"/>
          <w:sz w:val="22"/>
        </w:rPr>
        <w:t xml:space="preserve"> - Identifies whether FHIR sync is standard.</w:t>
      </w:r>
    </w:p>
    <w:p>
      <w:pPr>
        <w:pStyle w:val="ListBullet"/>
        <w:spacing w:after="80" w:line="276" w:lineRule="auto"/>
      </w:pPr>
      <w:r>
        <w:rPr>
          <w:rFonts w:ascii="Calibri" w:hAnsi="Calibri"/>
          <w:b/>
          <w:sz w:val="22"/>
        </w:rPr>
        <w:t>link [URL]:</w:t>
      </w:r>
      <w:r>
        <w:rPr>
          <w:rFonts w:ascii="Calibri" w:hAnsi="Calibri"/>
          <w:sz w:val="22"/>
        </w:rPr>
        <w:t xml:space="preserve"> - Dynamic URL string mapping (e.g., /features/{title}).</w:t>
      </w:r>
    </w:p>
    <w:p>
      <w:pPr>
        <w:pStyle w:val="Heading2"/>
        <w:keepNext/>
        <w:spacing w:before="180" w:after="60"/>
      </w:pPr>
      <w:r>
        <w:rPr>
          <w:rFonts w:ascii="Arial" w:hAnsi="Arial"/>
          <w:b/>
          <w:color w:val="B8A4FF"/>
          <w:sz w:val="28"/>
        </w:rPr>
        <w:t>Collection B: Clinic_Solutions</w:t>
      </w:r>
    </w:p>
    <w:p>
      <w:pPr>
        <w:pStyle w:val="ListBullet"/>
        <w:spacing w:after="80" w:line="276" w:lineRule="auto"/>
      </w:pPr>
      <w:r>
        <w:rPr>
          <w:rFonts w:ascii="Calibri" w:hAnsi="Calibri"/>
          <w:b/>
          <w:sz w:val="22"/>
        </w:rPr>
        <w:t>title [Text]:</w:t>
      </w:r>
      <w:r>
        <w:rPr>
          <w:rFonts w:ascii="Calibri" w:hAnsi="Calibri"/>
          <w:sz w:val="22"/>
        </w:rPr>
        <w:t xml:space="preserve"> - The scale segment (e.g., Mid-Size Network).</w:t>
      </w:r>
    </w:p>
    <w:p>
      <w:pPr>
        <w:pStyle w:val="ListBullet"/>
        <w:spacing w:after="80" w:line="276" w:lineRule="auto"/>
      </w:pPr>
      <w:r>
        <w:rPr>
          <w:rFonts w:ascii="Calibri" w:hAnsi="Calibri"/>
          <w:b/>
          <w:sz w:val="22"/>
        </w:rPr>
        <w:t>painPoint [Text]:</w:t>
      </w:r>
      <w:r>
        <w:rPr>
          <w:rFonts w:ascii="Calibri" w:hAnsi="Calibri"/>
          <w:sz w:val="22"/>
        </w:rPr>
        <w:t xml:space="preserve"> - Core challenge resolved (e.g., High staff overhead).</w:t>
      </w:r>
    </w:p>
    <w:p>
      <w:pPr>
        <w:pStyle w:val="ListBullet"/>
        <w:spacing w:after="80" w:line="276" w:lineRule="auto"/>
      </w:pPr>
      <w:r>
        <w:rPr>
          <w:rFonts w:ascii="Calibri" w:hAnsi="Calibri"/>
          <w:b/>
          <w:sz w:val="22"/>
        </w:rPr>
        <w:t>roiFormula [Text]:</w:t>
      </w:r>
      <w:r>
        <w:rPr>
          <w:rFonts w:ascii="Calibri" w:hAnsi="Calibri"/>
          <w:sz w:val="22"/>
        </w:rPr>
        <w:t xml:space="preserve"> - Formula logic mapping for the live ROI widget.</w:t>
      </w:r>
    </w:p>
    <w:p>
      <w:pPr>
        <w:pStyle w:val="ListBullet"/>
        <w:spacing w:after="80" w:line="276" w:lineRule="auto"/>
      </w:pPr>
      <w:r>
        <w:rPr>
          <w:rFonts w:ascii="Calibri" w:hAnsi="Calibri"/>
          <w:b/>
          <w:sz w:val="22"/>
        </w:rPr>
        <w:t>integrationLevel [Text]:</w:t>
      </w:r>
      <w:r>
        <w:rPr>
          <w:rFonts w:ascii="Calibri" w:hAnsi="Calibri"/>
          <w:sz w:val="22"/>
        </w:rPr>
        <w:t xml:space="preserve"> - EMR sync capability details.</w:t>
      </w:r>
    </w:p>
    <w:p>
      <w:pPr>
        <w:pStyle w:val="Heading2"/>
        <w:keepNext/>
        <w:spacing w:before="180" w:after="60"/>
      </w:pPr>
      <w:r>
        <w:rPr>
          <w:rFonts w:ascii="Arial" w:hAnsi="Arial"/>
          <w:b/>
          <w:color w:val="B8A4FF"/>
          <w:sz w:val="28"/>
        </w:rPr>
        <w:t>Collection C: Clinical_Outcomes</w:t>
      </w:r>
    </w:p>
    <w:p>
      <w:pPr>
        <w:pStyle w:val="ListBullet"/>
        <w:spacing w:after="80" w:line="276" w:lineRule="auto"/>
      </w:pPr>
      <w:r>
        <w:rPr>
          <w:rFonts w:ascii="Calibri" w:hAnsi="Calibri"/>
          <w:b/>
          <w:sz w:val="22"/>
        </w:rPr>
        <w:t>title [Text]:</w:t>
      </w:r>
      <w:r>
        <w:rPr>
          <w:rFonts w:ascii="Calibri" w:hAnsi="Calibri"/>
          <w:sz w:val="22"/>
        </w:rPr>
        <w:t xml:space="preserve"> - Study name or institutional location.</w:t>
      </w:r>
    </w:p>
    <w:p>
      <w:pPr>
        <w:pStyle w:val="ListBullet"/>
        <w:spacing w:after="80" w:line="276" w:lineRule="auto"/>
      </w:pPr>
      <w:r>
        <w:rPr>
          <w:rFonts w:ascii="Calibri" w:hAnsi="Calibri"/>
          <w:b/>
          <w:sz w:val="22"/>
        </w:rPr>
        <w:t>outcomesMetric [Text]:</w:t>
      </w:r>
      <w:r>
        <w:rPr>
          <w:rFonts w:ascii="Calibri" w:hAnsi="Calibri"/>
          <w:sz w:val="22"/>
        </w:rPr>
        <w:t xml:space="preserve"> - Validated outcome (e.g., $180,000 Saved).</w:t>
      </w:r>
    </w:p>
    <w:p>
      <w:pPr>
        <w:pStyle w:val="ListBullet"/>
        <w:spacing w:after="80" w:line="276" w:lineRule="auto"/>
      </w:pPr>
      <w:r>
        <w:rPr>
          <w:rFonts w:ascii="Calibri" w:hAnsi="Calibri"/>
          <w:b/>
          <w:sz w:val="22"/>
        </w:rPr>
        <w:t>cohortSize [Number]:</w:t>
      </w:r>
      <w:r>
        <w:rPr>
          <w:rFonts w:ascii="Calibri" w:hAnsi="Calibri"/>
          <w:sz w:val="22"/>
        </w:rPr>
        <w:t xml:space="preserve"> - Number of cycles in study (e.g., 850 cycles).</w:t>
      </w:r>
    </w:p>
    <w:p>
      <w:pPr>
        <w:pStyle w:val="ListBullet"/>
        <w:spacing w:after="80" w:line="276" w:lineRule="auto"/>
      </w:pPr>
      <w:r>
        <w:rPr>
          <w:rFonts w:ascii="Calibri" w:hAnsi="Calibri"/>
          <w:b/>
          <w:sz w:val="22"/>
        </w:rPr>
        <w:t>citation [URL]:</w:t>
      </w:r>
      <w:r>
        <w:rPr>
          <w:rFonts w:ascii="Calibri" w:hAnsi="Calibri"/>
          <w:sz w:val="22"/>
        </w:rPr>
        <w:t xml:space="preserve"> - PubMed ID or external study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