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3233C"/>
          <w:sz w:val="60"/>
        </w:rPr>
        <w:t>OVIFY</w:t>
      </w:r>
    </w:p>
    <w:p>
      <w:pPr>
        <w:spacing w:after="160"/>
        <w:jc w:val="center"/>
      </w:pPr>
      <w:r>
        <w:rPr>
          <w:i/>
          <w:color w:val="132035"/>
          <w:sz w:val="24"/>
        </w:rPr>
        <w:t>Helping IVF clinics keep patients on track and on treatment</w:t>
      </w:r>
    </w:p>
    <w:p>
      <w:pPr>
        <w:spacing w:after="200"/>
        <w:jc w:val="center"/>
      </w:pPr>
      <w:r>
        <w:rPr>
          <w:b/>
          <w:sz w:val="24"/>
        </w:rPr>
        <w:t>Hub71 Application: Business Plan</w:t>
        <w:br/>
      </w:r>
      <w:r>
        <w:rPr>
          <w:color w:val="132035"/>
          <w:sz w:val="20"/>
        </w:rPr>
        <w:t>18 June 2026  |  Abu Dhabi, UAE  |  Founder: Samaneh Khaleghi</w:t>
      </w:r>
    </w:p>
    <w:p>
      <w:pPr>
        <w:pBdr>
          <w:bottom w:val="single" w:sz="12" w:space="1" w:color="9E8CEF"/>
        </w:pBdr>
        <w:spacing w:after="200"/>
      </w:pPr>
    </w:p>
    <w:p>
      <w:pPr>
        <w:pStyle w:val="Heading1"/>
      </w:pPr>
      <w:r>
        <w:t>1. In One Page: What We Do and Why It Matters</w:t>
      </w:r>
    </w:p>
    <w:p>
      <w:pPr>
        <w:spacing w:after="120"/>
      </w:pPr>
      <w:r>
        <w:rPr>
          <w:i w:val="0"/>
          <w:sz w:val="22"/>
        </w:rPr>
        <w:t>Ovify is an AI-powered software platform for IVF clinics in the Gulf. We solve one expensive, everyday problem: patients who fall off their treatment because managing daily injections at home is confusing and stressful.</w:t>
      </w:r>
    </w:p>
    <w:p>
      <w:pPr>
        <w:spacing w:after="120"/>
      </w:pPr>
      <w:r>
        <w:rPr>
          <w:i w:val="0"/>
          <w:sz w:val="22"/>
        </w:rPr>
        <w:t>During an IVF cycle, patients give themselves injections at home, every day, for two to three weeks. Between clinic visits, no one can see whether they are doing it correctly, or at all. A single missed or mistimed dose can cancel a cycle worth 30,000 to 55,000 AED to the patient. Globally, 54 to 65% of patients drop out before completing their treatment journey.</w:t>
      </w:r>
    </w:p>
    <w:p>
      <w:pPr>
        <w:spacing w:after="120"/>
      </w:pPr>
      <w:r>
        <w:t>Ovify closes that gap with a unified, three-part AI-powered ecosystem:</w:t>
      </w:r>
    </w:p>
    <w:p>
      <w:pPr>
        <w:pStyle w:val="ListBullet"/>
        <w:spacing w:after="60"/>
      </w:pPr>
      <w:r>
        <w:t>A patient app. A phone app that walks the patient through each injection, step by step, with reminders, a one-tap confirmation, and a RAG-grounded AI companion answering medical queries instantly in Arabic or English. It installs from a web link, with no app store needed.</w:t>
      </w:r>
    </w:p>
    <w:p>
      <w:r>
        <w:t>A support app. Keeps support companions informed with daily reminders and cycle tasks, lowering the patient's emotional and cognitive workload.</w:t>
      </w:r>
    </w:p>
    <w:p>
      <w:pPr>
        <w:pStyle w:val="ListBullet"/>
        <w:spacing w:after="60"/>
      </w:pPr>
      <w:r>
        <w:t>A clinic dashboard. A priority triage console that ranks patients by a Dynamic Patient Risk Vector (logging latency, NLP sentiment check-ins, cycle complexity), helping nurses intervene before cycle failures.</w:t>
      </w:r>
    </w:p>
    <w:p>
      <w:pPr>
        <w:spacing w:after="120"/>
      </w:pPr>
      <w:r>
        <w:rPr>
          <w:i w:val="0"/>
          <w:sz w:val="22"/>
        </w:rPr>
        <w:t>Clinics pay a simple, predictable annual licence. In return, they protect cycles, cut hours of repetitive nurse follow-up, and give patients a calmer experience. We are asking to join Hub71 to build, validate, and scale this from Abu Dhabi across the GCC.</w:t>
      </w:r>
    </w:p>
    <w:p>
      <w:pPr>
        <w:pStyle w:val="Heading1"/>
      </w:pPr>
      <w:r>
        <w:t>2. The Problem, in Plain Terms</w:t>
      </w:r>
    </w:p>
    <w:tbl>
      <w:tblPr>
        <w:tblStyle w:val="TableGrid"/>
        <w:tblW w:type="auto" w:w="0"/>
        <w:jc w:val="center"/>
        <w:tblLook w:firstColumn="1" w:firstRow="1" w:lastColumn="0" w:lastRow="0" w:noHBand="0" w:noVBand="1" w:val="04A0"/>
      </w:tblPr>
      <w:tblGrid>
        <w:gridCol w:w="4320"/>
        <w:gridCol w:w="4320"/>
      </w:tblGrid>
      <w:tr>
        <w:tc>
          <w:tcPr>
            <w:tcW w:type="dxa" w:w="2016"/>
            <w:shd w:val="clear" w:fill="13233C"/>
          </w:tcPr>
          <w:p>
            <w:pPr>
              <w:spacing w:after="40" w:before="40"/>
            </w:pPr>
            <w:r/>
            <w:r>
              <w:rPr>
                <w:rFonts w:ascii="Calibri" w:hAnsi="Calibri"/>
                <w:b/>
                <w:color w:val="FFFFFF"/>
                <w:sz w:val="21"/>
              </w:rPr>
              <w:t>Who feels it</w:t>
            </w:r>
          </w:p>
        </w:tc>
        <w:tc>
          <w:tcPr>
            <w:tcW w:type="dxa" w:w="10944"/>
            <w:shd w:val="clear" w:fill="13233C"/>
          </w:tcPr>
          <w:p>
            <w:pPr>
              <w:spacing w:after="40" w:before="40"/>
            </w:pPr>
            <w:r/>
            <w:r>
              <w:rPr>
                <w:rFonts w:ascii="Calibri" w:hAnsi="Calibri"/>
                <w:b/>
                <w:color w:val="FFFFFF"/>
                <w:sz w:val="21"/>
              </w:rPr>
              <w:t>The problem today</w:t>
            </w:r>
          </w:p>
        </w:tc>
      </w:tr>
      <w:tr>
        <w:tc>
          <w:tcPr>
            <w:tcW w:type="dxa" w:w="2016"/>
          </w:tcPr>
          <w:p>
            <w:pPr>
              <w:spacing w:after="40" w:before="40"/>
            </w:pPr>
            <w:r/>
            <w:r>
              <w:rPr>
                <w:rFonts w:ascii="Calibri" w:hAnsi="Calibri"/>
                <w:b/>
                <w:sz w:val="20"/>
              </w:rPr>
              <w:t>Patients</w:t>
            </w:r>
          </w:p>
        </w:tc>
        <w:tc>
          <w:tcPr>
            <w:tcW w:type="dxa" w:w="10944"/>
          </w:tcPr>
          <w:p>
            <w:pPr>
              <w:spacing w:after="40" w:before="40"/>
            </w:pPr>
            <w:r/>
            <w:r>
              <w:rPr>
                <w:rFonts w:ascii="Calibri" w:hAnsi="Calibri"/>
                <w:b w:val="0"/>
                <w:sz w:val="20"/>
              </w:rPr>
              <w:t>Self-inject for weeks while anxious and hormone-affected, with no support between visits. Many quietly disengage.</w:t>
            </w:r>
          </w:p>
        </w:tc>
      </w:tr>
      <w:tr>
        <w:tc>
          <w:tcPr>
            <w:tcW w:type="dxa" w:w="2016"/>
            <w:shd w:val="clear" w:fill="F5F3FF"/>
          </w:tcPr>
          <w:p>
            <w:pPr>
              <w:spacing w:after="40" w:before="40"/>
            </w:pPr>
            <w:r/>
            <w:r>
              <w:rPr>
                <w:rFonts w:ascii="Calibri" w:hAnsi="Calibri"/>
                <w:b/>
                <w:sz w:val="20"/>
              </w:rPr>
              <w:t>Clinics</w:t>
            </w:r>
          </w:p>
        </w:tc>
        <w:tc>
          <w:tcPr>
            <w:tcW w:type="dxa" w:w="10944"/>
            <w:shd w:val="clear" w:fill="F5F3FF"/>
          </w:tcPr>
          <w:p>
            <w:pPr>
              <w:spacing w:after="40" w:before="40"/>
            </w:pPr>
            <w:r/>
            <w:r>
              <w:rPr>
                <w:rFonts w:ascii="Calibri" w:hAnsi="Calibri"/>
                <w:b w:val="0"/>
                <w:sz w:val="20"/>
              </w:rPr>
              <w:t>No visibility into home injections. A missed dose is only discovered when a cycle fails, losing the patient's money and the clinic's reputation.</w:t>
            </w:r>
          </w:p>
        </w:tc>
      </w:tr>
      <w:tr>
        <w:tc>
          <w:tcPr>
            <w:tcW w:type="dxa" w:w="2016"/>
          </w:tcPr>
          <w:p>
            <w:pPr>
              <w:spacing w:after="40" w:before="40"/>
            </w:pPr>
            <w:r/>
            <w:r>
              <w:rPr>
                <w:rFonts w:ascii="Calibri" w:hAnsi="Calibri"/>
                <w:b/>
                <w:sz w:val="20"/>
              </w:rPr>
              <w:t>Nurses</w:t>
            </w:r>
          </w:p>
        </w:tc>
        <w:tc>
          <w:tcPr>
            <w:tcW w:type="dxa" w:w="10944"/>
          </w:tcPr>
          <w:p>
            <w:pPr>
              <w:spacing w:after="40" w:before="40"/>
            </w:pPr>
            <w:r/>
            <w:r>
              <w:rPr>
                <w:rFonts w:ascii="Calibri" w:hAnsi="Calibri"/>
                <w:b w:val="0"/>
                <w:sz w:val="20"/>
              </w:rPr>
              <w:t>Spend up to 15 hours a week chasing logs and answering the same injection questions by phone and WhatsApp. This drives burnout and turnover.</w:t>
            </w:r>
          </w:p>
        </w:tc>
      </w:tr>
    </w:tbl>
    <w:p>
      <w:pPr>
        <w:spacing w:after="40"/>
      </w:pPr>
    </w:p>
    <w:p>
      <w:pPr>
        <w:spacing w:after="120"/>
      </w:pPr>
      <w:r>
        <w:rPr>
          <w:i w:val="0"/>
          <w:sz w:val="22"/>
        </w:rPr>
        <w:t>This is not a wellness nice-to-have. It is lost revenue, wasted clinical capacity, and avoidable patient heartbreak.</w:t>
      </w:r>
    </w:p>
    <w:p>
      <w:pPr>
        <w:pStyle w:val="Heading1"/>
      </w:pPr>
      <w:r>
        <w:t>3. Our Solution</w:t>
      </w:r>
    </w:p>
    <w:p>
      <w:pPr>
        <w:pStyle w:val="ListBullet"/>
        <w:spacing w:after="60"/>
      </w:pPr>
      <w:r>
        <w:t>For the patient: Plain-language injection steps, timers, dose reminders, and a one-tap confirmation after each injection. An AI onboarding engine allows nurses to dictate or paste medication protocols, automatically parsing the text or audio to construct structured patient timelines, while an edge Computer Vision guide verifies syringe prep. A CalmSeed conversational assistant answers questions using RAG grounded in clinical standards.</w:t>
      </w:r>
    </w:p>
    <w:p>
      <w:r>
        <w:t>For the support companion: Delivers automated prompts, cycle-stage empathy coaching, and synced calendars, reducing relationship friction and patient anxiety.</w:t>
      </w:r>
    </w:p>
    <w:p>
      <w:pPr>
        <w:pStyle w:val="ListBullet"/>
        <w:spacing w:after="60"/>
      </w:pPr>
      <w:r>
        <w:t>For the clinic: A priority triage console that ranks active patients by a Dynamic Patient Risk Vector. Ovify's supervised classification model learns logging latencies to predict dropouts 48 hours in advance, while NLP screens logs for psychological distress. The coordinator sees exactly who to triage first.</w:t>
      </w:r>
    </w:p>
    <w:p>
      <w:pPr>
        <w:spacing w:after="120"/>
      </w:pPr>
      <w:r>
        <w:rPr>
          <w:i w:val="0"/>
          <w:sz w:val="22"/>
        </w:rPr>
        <w:t>Everything a patient needs runs from a single web link they save to their home screen. Nurses register a patient in about 90 seconds, and the platform does the chasing automatically. Its AI gets sharper at spotting at-risk patients with every cycle it sees.</w:t>
      </w:r>
    </w:p>
    <w:p>
      <w:pPr>
        <w:pStyle w:val="Heading1"/>
      </w:pPr>
      <w:r>
        <w:t>4. Where We Are Today (and What Hub71 Helps Us Build)</w:t>
      </w:r>
    </w:p>
    <w:p>
      <w:pPr>
        <w:spacing w:after="120"/>
      </w:pPr>
      <w:r>
        <w:rPr>
          <w:i w:val="0"/>
          <w:sz w:val="22"/>
        </w:rPr>
        <w:t>We believe in being straight about our stage. Today Ovify has validated designs, working interactive prototypes, and a detailed build plan, but not yet a deployed product. Our first job at Hub71 is to ship a real, usable platform into a real clinic.</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3233C"/>
          </w:tcPr>
          <w:p>
            <w:pPr>
              <w:spacing w:after="40" w:before="40"/>
            </w:pPr>
            <w:r/>
            <w:r>
              <w:rPr>
                <w:rFonts w:ascii="Calibri" w:hAnsi="Calibri"/>
                <w:b/>
                <w:color w:val="FFFFFF"/>
                <w:sz w:val="21"/>
              </w:rPr>
              <w:t>Stage</w:t>
            </w:r>
          </w:p>
        </w:tc>
        <w:tc>
          <w:tcPr>
            <w:tcW w:type="dxa" w:w="2304"/>
            <w:shd w:val="clear" w:fill="13233C"/>
          </w:tcPr>
          <w:p>
            <w:pPr>
              <w:spacing w:after="40" w:before="40"/>
            </w:pPr>
            <w:r/>
            <w:r>
              <w:rPr>
                <w:rFonts w:ascii="Calibri" w:hAnsi="Calibri"/>
                <w:b/>
                <w:color w:val="FFFFFF"/>
                <w:sz w:val="21"/>
              </w:rPr>
              <w:t>Timeline</w:t>
            </w:r>
          </w:p>
        </w:tc>
        <w:tc>
          <w:tcPr>
            <w:tcW w:type="dxa" w:w="8064"/>
            <w:shd w:val="clear" w:fill="13233C"/>
          </w:tcPr>
          <w:p>
            <w:pPr>
              <w:spacing w:after="40" w:before="40"/>
            </w:pPr>
            <w:r/>
            <w:r>
              <w:rPr>
                <w:rFonts w:ascii="Calibri" w:hAnsi="Calibri"/>
                <w:b/>
                <w:color w:val="FFFFFF"/>
                <w:sz w:val="21"/>
              </w:rPr>
              <w:t>Milestone</w:t>
            </w:r>
          </w:p>
        </w:tc>
      </w:tr>
      <w:tr>
        <w:tc>
          <w:tcPr>
            <w:tcW w:type="dxa" w:w="2592"/>
          </w:tcPr>
          <w:p>
            <w:pPr>
              <w:spacing w:after="40" w:before="40"/>
            </w:pPr>
            <w:r/>
            <w:r>
              <w:rPr>
                <w:rFonts w:ascii="Calibri" w:hAnsi="Calibri"/>
                <w:b/>
                <w:sz w:val="20"/>
              </w:rPr>
              <w:t>Build the MVP</w:t>
            </w:r>
          </w:p>
        </w:tc>
        <w:tc>
          <w:tcPr>
            <w:tcW w:type="dxa" w:w="2304"/>
          </w:tcPr>
          <w:p>
            <w:pPr>
              <w:spacing w:after="40" w:before="40"/>
            </w:pPr>
            <w:r/>
            <w:r>
              <w:rPr>
                <w:rFonts w:ascii="Calibri" w:hAnsi="Calibri"/>
                <w:b w:val="0"/>
                <w:sz w:val="20"/>
              </w:rPr>
              <w:t>Months 0 to 4</w:t>
            </w:r>
          </w:p>
        </w:tc>
        <w:tc>
          <w:tcPr>
            <w:tcW w:type="dxa" w:w="8064"/>
          </w:tcPr>
          <w:p>
            <w:pPr>
              <w:spacing w:after="40" w:before="40"/>
            </w:pPr>
            <w:r/>
            <w:r>
              <w:rPr>
                <w:rFonts w:ascii="Calibri" w:hAnsi="Calibri"/>
                <w:b w:val="0"/>
                <w:sz w:val="20"/>
              </w:rPr>
              <w:t>Patient app and nurse dashboard with reminders, confirmations, and missed-dose alerts.</w:t>
            </w:r>
          </w:p>
        </w:tc>
      </w:tr>
      <w:tr>
        <w:tc>
          <w:tcPr>
            <w:tcW w:type="dxa" w:w="2592"/>
            <w:shd w:val="clear" w:fill="F5F3FF"/>
          </w:tcPr>
          <w:p>
            <w:pPr>
              <w:spacing w:after="40" w:before="40"/>
            </w:pPr>
            <w:r/>
            <w:r>
              <w:rPr>
                <w:rFonts w:ascii="Calibri" w:hAnsi="Calibri"/>
                <w:b/>
                <w:sz w:val="20"/>
              </w:rPr>
              <w:t>First live pilots</w:t>
            </w:r>
          </w:p>
        </w:tc>
        <w:tc>
          <w:tcPr>
            <w:tcW w:type="dxa" w:w="2304"/>
            <w:shd w:val="clear" w:fill="F5F3FF"/>
          </w:tcPr>
          <w:p>
            <w:pPr>
              <w:spacing w:after="40" w:before="40"/>
            </w:pPr>
            <w:r/>
            <w:r>
              <w:rPr>
                <w:rFonts w:ascii="Calibri" w:hAnsi="Calibri"/>
                <w:b w:val="0"/>
                <w:sz w:val="20"/>
              </w:rPr>
              <w:t>Months 4 to 6</w:t>
            </w:r>
          </w:p>
        </w:tc>
        <w:tc>
          <w:tcPr>
            <w:tcW w:type="dxa" w:w="8064"/>
            <w:shd w:val="clear" w:fill="F5F3FF"/>
          </w:tcPr>
          <w:p>
            <w:pPr>
              <w:spacing w:after="40" w:before="40"/>
            </w:pPr>
            <w:r/>
            <w:r>
              <w:rPr>
                <w:rFonts w:ascii="Calibri" w:hAnsi="Calibri"/>
                <w:b w:val="0"/>
                <w:sz w:val="20"/>
              </w:rPr>
              <w:t>Deploy free with the first three Abu Dhabi clinics and gather real adherence data.</w:t>
            </w:r>
          </w:p>
        </w:tc>
      </w:tr>
      <w:tr>
        <w:tc>
          <w:tcPr>
            <w:tcW w:type="dxa" w:w="2592"/>
          </w:tcPr>
          <w:p>
            <w:pPr>
              <w:spacing w:after="40" w:before="40"/>
            </w:pPr>
            <w:r/>
            <w:r>
              <w:rPr>
                <w:rFonts w:ascii="Calibri" w:hAnsi="Calibri"/>
                <w:b/>
                <w:sz w:val="20"/>
              </w:rPr>
              <w:t>Prove the value</w:t>
            </w:r>
          </w:p>
        </w:tc>
        <w:tc>
          <w:tcPr>
            <w:tcW w:type="dxa" w:w="2304"/>
          </w:tcPr>
          <w:p>
            <w:pPr>
              <w:spacing w:after="40" w:before="40"/>
            </w:pPr>
            <w:r/>
            <w:r>
              <w:rPr>
                <w:rFonts w:ascii="Calibri" w:hAnsi="Calibri"/>
                <w:b w:val="0"/>
                <w:sz w:val="20"/>
              </w:rPr>
              <w:t>Months 7 to 9</w:t>
            </w:r>
          </w:p>
        </w:tc>
        <w:tc>
          <w:tcPr>
            <w:tcW w:type="dxa" w:w="8064"/>
          </w:tcPr>
          <w:p>
            <w:pPr>
              <w:spacing w:after="40" w:before="40"/>
            </w:pPr>
            <w:r/>
            <w:r>
              <w:rPr>
                <w:rFonts w:ascii="Calibri" w:hAnsi="Calibri"/>
                <w:b w:val="0"/>
                <w:sz w:val="20"/>
              </w:rPr>
              <w:t>Measure nurse hours saved, doses confirmed, and dropouts prevented.</w:t>
            </w:r>
          </w:p>
        </w:tc>
      </w:tr>
      <w:tr>
        <w:tc>
          <w:tcPr>
            <w:tcW w:type="dxa" w:w="2592"/>
            <w:shd w:val="clear" w:fill="F5F3FF"/>
          </w:tcPr>
          <w:p>
            <w:pPr>
              <w:spacing w:after="40" w:before="40"/>
            </w:pPr>
            <w:r/>
            <w:r>
              <w:rPr>
                <w:rFonts w:ascii="Calibri" w:hAnsi="Calibri"/>
                <w:b/>
                <w:sz w:val="20"/>
              </w:rPr>
              <w:t>Convert to paid</w:t>
            </w:r>
          </w:p>
        </w:tc>
        <w:tc>
          <w:tcPr>
            <w:tcW w:type="dxa" w:w="2304"/>
            <w:shd w:val="clear" w:fill="F5F3FF"/>
          </w:tcPr>
          <w:p>
            <w:pPr>
              <w:spacing w:after="40" w:before="40"/>
            </w:pPr>
            <w:r/>
            <w:r>
              <w:rPr>
                <w:rFonts w:ascii="Calibri" w:hAnsi="Calibri"/>
                <w:b w:val="0"/>
                <w:sz w:val="20"/>
              </w:rPr>
              <w:t>Months 10 to 12</w:t>
            </w:r>
          </w:p>
        </w:tc>
        <w:tc>
          <w:tcPr>
            <w:tcW w:type="dxa" w:w="8064"/>
            <w:shd w:val="clear" w:fill="F5F3FF"/>
          </w:tcPr>
          <w:p>
            <w:pPr>
              <w:spacing w:after="40" w:before="40"/>
            </w:pPr>
            <w:r/>
            <w:r>
              <w:rPr>
                <w:rFonts w:ascii="Calibri" w:hAnsi="Calibri"/>
                <w:b w:val="0"/>
                <w:sz w:val="20"/>
              </w:rPr>
              <w:t>Turn proven pilots into paying annual contracts.</w:t>
            </w:r>
          </w:p>
        </w:tc>
      </w:tr>
    </w:tbl>
    <w:p>
      <w:pPr>
        <w:spacing w:after="40"/>
      </w:pPr>
    </w:p>
    <w:p>
      <w:pPr>
        <w:spacing w:after="120"/>
      </w:pPr>
      <w:r>
        <w:rPr>
          <w:i w:val="0"/>
          <w:sz w:val="22"/>
        </w:rPr>
        <w:t>Being pre-product is not a weakness for an accelerator application. It is exactly the stage where Hub71's support, network, and runway make the biggest difference.</w:t>
      </w:r>
    </w:p>
    <w:p>
      <w:pPr>
        <w:pStyle w:val="Heading1"/>
      </w:pPr>
      <w:r>
        <w:t>5. Why Now, and Why Here</w:t>
      </w:r>
    </w:p>
    <w:p>
      <w:pPr>
        <w:pStyle w:val="ListBullet"/>
        <w:spacing w:after="60"/>
      </w:pPr>
      <w:r>
        <w:rPr>
          <w:b/>
        </w:rPr>
        <w:t xml:space="preserve">Big, growing market: </w:t>
      </w:r>
      <w:r>
        <w:t xml:space="preserve"> The UAE and Saudi Arabia have some of the highest IVF cycle volumes and out-of-pocket fertility spending in the world, and demand is rising.</w:t>
      </w:r>
    </w:p>
    <w:p>
      <w:pPr>
        <w:pStyle w:val="ListBullet"/>
        <w:spacing w:after="60"/>
      </w:pPr>
      <w:r>
        <w:rPr>
          <w:b/>
        </w:rPr>
        <w:t xml:space="preserve">Government tailwind: </w:t>
      </w:r>
      <w:r>
        <w:t xml:space="preserve"> Abu Dhabi's Department of Health (DoH) is actively building the emirate into a hub for advanced, digitally-enabled healthcare. Standardised digital adherence tracking fits that vision directly.</w:t>
      </w:r>
    </w:p>
    <w:p>
      <w:pPr>
        <w:pStyle w:val="ListBullet"/>
        <w:spacing w:after="60"/>
      </w:pPr>
      <w:r>
        <w:rPr>
          <w:b/>
        </w:rPr>
        <w:t xml:space="preserve">An open lane: </w:t>
      </w:r>
      <w:r>
        <w:t xml:space="preserve"> We have not found a clinic-focused adherence platform purpose-built for the GCC's regulations, languages, and clinical workflow. We aim to be first to own that niche here.</w:t>
      </w:r>
    </w:p>
    <w:p>
      <w:pPr>
        <w:pStyle w:val="Heading1"/>
      </w:pPr>
      <w:r>
        <w:t>6. Who Else Does This (Competitive Landscape)</w:t>
      </w:r>
    </w:p>
    <w:p>
      <w:pPr>
        <w:spacing w:after="120"/>
      </w:pPr>
      <w:r>
        <w:rPr>
          <w:i w:val="0"/>
          <w:sz w:val="22"/>
        </w:rPr>
        <w:t>The honest answer: we have not found a direct competitor in the GCC that does exactly what Ovify does, a clinic-integrated platform built specifically for home-injection adherence in IVF. What clinics rely on today falls into four buckets, and none solves the problem end to end:</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3233C"/>
          </w:tcPr>
          <w:p>
            <w:pPr>
              <w:spacing w:after="40" w:before="40"/>
            </w:pPr>
            <w:r/>
            <w:r>
              <w:rPr>
                <w:rFonts w:ascii="Calibri" w:hAnsi="Calibri"/>
                <w:b/>
                <w:color w:val="FFFFFF"/>
                <w:sz w:val="21"/>
              </w:rPr>
              <w:t>Alternative</w:t>
            </w:r>
          </w:p>
        </w:tc>
        <w:tc>
          <w:tcPr>
            <w:tcW w:type="dxa" w:w="5328"/>
            <w:shd w:val="clear" w:fill="13233C"/>
          </w:tcPr>
          <w:p>
            <w:pPr>
              <w:spacing w:after="40" w:before="40"/>
            </w:pPr>
            <w:r/>
            <w:r>
              <w:rPr>
                <w:rFonts w:ascii="Calibri" w:hAnsi="Calibri"/>
                <w:b/>
                <w:color w:val="FFFFFF"/>
                <w:sz w:val="21"/>
              </w:rPr>
              <w:t>What it is</w:t>
            </w:r>
          </w:p>
        </w:tc>
        <w:tc>
          <w:tcPr>
            <w:tcW w:type="dxa" w:w="4896"/>
            <w:shd w:val="clear" w:fill="13233C"/>
          </w:tcPr>
          <w:p>
            <w:pPr>
              <w:spacing w:after="40" w:before="40"/>
            </w:pPr>
            <w:r/>
            <w:r>
              <w:rPr>
                <w:rFonts w:ascii="Calibri" w:hAnsi="Calibri"/>
                <w:b/>
                <w:color w:val="FFFFFF"/>
                <w:sz w:val="21"/>
              </w:rPr>
              <w:t>Where it falls short</w:t>
            </w:r>
          </w:p>
        </w:tc>
      </w:tr>
      <w:tr>
        <w:tc>
          <w:tcPr>
            <w:tcW w:type="dxa" w:w="2736"/>
          </w:tcPr>
          <w:p>
            <w:pPr>
              <w:spacing w:after="40" w:before="40"/>
            </w:pPr>
            <w:r/>
            <w:r>
              <w:rPr>
                <w:rFonts w:ascii="Calibri" w:hAnsi="Calibri"/>
                <w:b/>
                <w:sz w:val="20"/>
              </w:rPr>
              <w:t>Paper and WhatsApp</w:t>
            </w:r>
          </w:p>
        </w:tc>
        <w:tc>
          <w:tcPr>
            <w:tcW w:type="dxa" w:w="5328"/>
          </w:tcPr>
          <w:p>
            <w:pPr>
              <w:spacing w:after="40" w:before="40"/>
            </w:pPr>
            <w:r/>
            <w:r>
              <w:rPr>
                <w:rFonts w:ascii="Calibri" w:hAnsi="Calibri"/>
                <w:b w:val="0"/>
                <w:sz w:val="20"/>
              </w:rPr>
              <w:t>Printed protocols, nurse phone calls, and ad-hoc WhatsApp messages, the default in most clinics today.</w:t>
            </w:r>
          </w:p>
        </w:tc>
        <w:tc>
          <w:tcPr>
            <w:tcW w:type="dxa" w:w="4896"/>
          </w:tcPr>
          <w:p>
            <w:pPr>
              <w:spacing w:after="40" w:before="40"/>
            </w:pPr>
            <w:r/>
            <w:r>
              <w:rPr>
                <w:rFonts w:ascii="Calibri" w:hAnsi="Calibri"/>
                <w:b w:val="0"/>
                <w:sz w:val="20"/>
              </w:rPr>
              <w:t>No visibility between visits and no alerts, plus the full manual workload that burns nurses out. This is our real competitor.</w:t>
            </w:r>
          </w:p>
        </w:tc>
      </w:tr>
      <w:tr>
        <w:tc>
          <w:tcPr>
            <w:tcW w:type="dxa" w:w="2736"/>
            <w:shd w:val="clear" w:fill="F5F3FF"/>
          </w:tcPr>
          <w:p>
            <w:pPr>
              <w:spacing w:after="40" w:before="40"/>
            </w:pPr>
            <w:r/>
            <w:r>
              <w:rPr>
                <w:rFonts w:ascii="Calibri" w:hAnsi="Calibri"/>
                <w:b/>
                <w:sz w:val="20"/>
              </w:rPr>
              <w:t>Consumer IVF apps</w:t>
            </w:r>
          </w:p>
        </w:tc>
        <w:tc>
          <w:tcPr>
            <w:tcW w:type="dxa" w:w="5328"/>
            <w:shd w:val="clear" w:fill="F5F3FF"/>
          </w:tcPr>
          <w:p>
            <w:pPr>
              <w:spacing w:after="40" w:before="40"/>
            </w:pPr>
            <w:r/>
            <w:r>
              <w:rPr>
                <w:rFonts w:ascii="Calibri" w:hAnsi="Calibri"/>
                <w:b w:val="0"/>
                <w:sz w:val="20"/>
              </w:rPr>
              <w:t>Patient-download cycle-tracking and reminder apps, such as Embie.</w:t>
            </w:r>
          </w:p>
        </w:tc>
        <w:tc>
          <w:tcPr>
            <w:tcW w:type="dxa" w:w="4896"/>
            <w:shd w:val="clear" w:fill="F5F3FF"/>
          </w:tcPr>
          <w:p>
            <w:pPr>
              <w:spacing w:after="40" w:before="40"/>
            </w:pPr>
            <w:r/>
            <w:r>
              <w:rPr>
                <w:rFonts w:ascii="Calibri" w:hAnsi="Calibri"/>
                <w:b w:val="0"/>
                <w:sz w:val="20"/>
              </w:rPr>
              <w:t>Built for the patient alone and not connected to the clinic, so nurses get no dashboard, no alerts, and no adherence data.</w:t>
            </w:r>
          </w:p>
        </w:tc>
      </w:tr>
      <w:tr>
        <w:tc>
          <w:tcPr>
            <w:tcW w:type="dxa" w:w="2736"/>
          </w:tcPr>
          <w:p>
            <w:pPr>
              <w:spacing w:after="40" w:before="40"/>
            </w:pPr>
            <w:r/>
            <w:r>
              <w:rPr>
                <w:rFonts w:ascii="Calibri" w:hAnsi="Calibri"/>
                <w:b/>
                <w:sz w:val="20"/>
              </w:rPr>
              <w:t>Fertility EMR systems</w:t>
            </w:r>
          </w:p>
        </w:tc>
        <w:tc>
          <w:tcPr>
            <w:tcW w:type="dxa" w:w="5328"/>
          </w:tcPr>
          <w:p>
            <w:pPr>
              <w:spacing w:after="40" w:before="40"/>
            </w:pPr>
            <w:r/>
            <w:r>
              <w:rPr>
                <w:rFonts w:ascii="Calibri" w:hAnsi="Calibri"/>
                <w:b w:val="0"/>
                <w:sz w:val="20"/>
              </w:rPr>
              <w:t>Clinic-management and records platforms with basic patient portals, such as MedITEX, eIVF, or BabySentry.</w:t>
            </w:r>
          </w:p>
        </w:tc>
        <w:tc>
          <w:tcPr>
            <w:tcW w:type="dxa" w:w="4896"/>
          </w:tcPr>
          <w:p>
            <w:pPr>
              <w:spacing w:after="40" w:before="40"/>
            </w:pPr>
            <w:r/>
            <w:r>
              <w:rPr>
                <w:rFonts w:ascii="Calibri" w:hAnsi="Calibri"/>
                <w:b w:val="0"/>
                <w:sz w:val="20"/>
              </w:rPr>
              <w:t>Focused on records and scheduling, not daily injection guidance or dropout alerts; their portals are generic and rarely used by anxious patients.</w:t>
            </w:r>
          </w:p>
        </w:tc>
      </w:tr>
      <w:tr>
        <w:tc>
          <w:tcPr>
            <w:tcW w:type="dxa" w:w="2736"/>
            <w:shd w:val="clear" w:fill="F5F3FF"/>
          </w:tcPr>
          <w:p>
            <w:pPr>
              <w:spacing w:after="40" w:before="40"/>
            </w:pPr>
            <w:r/>
            <w:r>
              <w:rPr>
                <w:rFonts w:ascii="Calibri" w:hAnsi="Calibri"/>
                <w:b/>
                <w:sz w:val="20"/>
              </w:rPr>
              <w:t>Hospital / HIS portals</w:t>
            </w:r>
          </w:p>
        </w:tc>
        <w:tc>
          <w:tcPr>
            <w:tcW w:type="dxa" w:w="5328"/>
            <w:shd w:val="clear" w:fill="F5F3FF"/>
          </w:tcPr>
          <w:p>
            <w:pPr>
              <w:spacing w:after="40" w:before="40"/>
            </w:pPr>
            <w:r/>
            <w:r>
              <w:rPr>
                <w:rFonts w:ascii="Calibri" w:hAnsi="Calibri"/>
                <w:b w:val="0"/>
                <w:sz w:val="20"/>
              </w:rPr>
              <w:t>Generic patient apps from a hospital's main IT system or from Malaffi.</w:t>
            </w:r>
          </w:p>
        </w:tc>
        <w:tc>
          <w:tcPr>
            <w:tcW w:type="dxa" w:w="4896"/>
            <w:shd w:val="clear" w:fill="F5F3FF"/>
          </w:tcPr>
          <w:p>
            <w:pPr>
              <w:spacing w:after="40" w:before="40"/>
            </w:pPr>
            <w:r/>
            <w:r>
              <w:rPr>
                <w:rFonts w:ascii="Calibri" w:hAnsi="Calibri"/>
                <w:b w:val="0"/>
                <w:sz w:val="20"/>
              </w:rPr>
              <w:t>Not IVF-specific, no injection workflow, and not built around the nurse's daily triage.</w:t>
            </w:r>
          </w:p>
        </w:tc>
      </w:tr>
    </w:tbl>
    <w:p>
      <w:pPr>
        <w:spacing w:after="40"/>
      </w:pPr>
    </w:p>
    <w:p>
      <w:pPr>
        <w:spacing w:after="120"/>
      </w:pPr>
      <w:r>
        <w:rPr>
          <w:i w:val="0"/>
          <w:sz w:val="22"/>
        </w:rPr>
        <w:t>Ovify sits in the gap between these: clinic-integrated like an EMR, but as easy for a patient as a consumer app, and built around the one thing that decides whether a cycle succeeds, daily home-injection adherence. We localise it for the GCC (Arabic and English, WhatsApp-first, Malaffi-ready, PDPL-compliant), which the global tools are not.</w:t>
      </w:r>
    </w:p>
    <w:p>
      <w:pPr>
        <w:spacing w:after="120"/>
      </w:pPr>
      <w:r>
        <w:rPr>
          <w:i/>
          <w:color w:val="132035"/>
          <w:sz w:val="20"/>
        </w:rPr>
        <w:t>We are realistic about defensibility. The idea is not patentable, and a fertility-EMR vendor could add an adherence module. Our moat is execution speed, deep nurse-workflow design, local regulatory fit, and the clinic relationships we build during the pilots, not the concept itself. What compounds over time is data: every cycle on Ovify makes our GCC-specific AI risk models more accurate, an edge a late entrant cannot copy quickly. Being first to own this niche in the GCC, with reference clinics, a growing adherence dataset, and DoH alignment, is what makes us hard to displace.</w:t>
      </w:r>
    </w:p>
    <w:p>
      <w:pPr>
        <w:pStyle w:val="Heading1"/>
      </w:pPr>
      <w:r>
        <w:t>7. How We Make Money</w:t>
      </w:r>
    </w:p>
    <w:p>
      <w:pPr>
        <w:spacing w:after="120"/>
      </w:pPr>
      <w:r>
        <w:rPr>
          <w:i w:val="0"/>
          <w:sz w:val="22"/>
        </w:rPr>
        <w:t>We licence Ovify the way UAE clinics and hospitals already buy clinical software: a flat annual platform licence per site, billed upfront, plus a one-time implementation fee at go-live. The licence is banded by annual cycle volume, the number clinics actually budget around. SMS, WhatsApp, and hosting are all included, so there are no variable monthly bills to audit, and we hold a 90%+ gross margin on the recurring licence.</w:t>
      </w:r>
    </w:p>
    <w:p>
      <w:pPr>
        <w:pStyle w:val="Heading2"/>
      </w:pPr>
      <w:r>
        <w:t>Engine 1: Annual Platform Licence (Our Core)</w:t>
      </w:r>
    </w:p>
    <w:tbl>
      <w:tblPr>
        <w:tblStyle w:val="TableGrid"/>
        <w:tblW w:type="auto" w:w="0"/>
        <w:jc w:val="center"/>
        <w:tblLook w:firstColumn="1" w:firstRow="1" w:lastColumn="0" w:lastRow="0" w:noHBand="0" w:noVBand="1" w:val="04A0"/>
      </w:tblPr>
      <w:tblGrid>
        <w:gridCol w:w="800"/>
        <w:gridCol w:w="1600"/>
        <w:gridCol w:w="1050"/>
        <w:gridCol w:w="1350"/>
        <w:gridCol w:w="1050"/>
        <w:gridCol w:w="3150"/>
      </w:tblGrid>
      <w:tr>
        <w:tc>
          <w:tcPr>
            <w:tcW w:type="dxa" w:w="800"/>
            <w:shd w:val="clear" w:fill="13233C"/>
          </w:tcPr>
          <w:p>
            <w:pPr>
              <w:spacing w:after="40" w:before="40"/>
            </w:pPr>
            <w:r/>
            <w:r>
              <w:rPr>
                <w:rFonts w:ascii="Calibri" w:hAnsi="Calibri"/>
                <w:b/>
                <w:color w:val="FFFFFF"/>
                <w:sz w:val="21"/>
              </w:rPr>
              <w:t>Plan</w:t>
            </w:r>
          </w:p>
        </w:tc>
        <w:tc>
          <w:tcPr>
            <w:tcW w:type="dxa" w:w="1600"/>
            <w:shd w:val="clear" w:fill="13233C"/>
          </w:tcPr>
          <w:p>
            <w:pPr>
              <w:spacing w:after="40" w:before="40"/>
            </w:pPr>
            <w:r/>
            <w:r>
              <w:rPr>
                <w:rFonts w:ascii="Calibri" w:hAnsi="Calibri"/>
                <w:b/>
                <w:color w:val="FFFFFF"/>
                <w:sz w:val="21"/>
              </w:rPr>
              <w:t>Annual Licence</w:t>
            </w:r>
          </w:p>
        </w:tc>
        <w:tc>
          <w:tcPr>
            <w:tcW w:type="dxa" w:w="1050"/>
            <w:shd w:val="clear" w:fill="13233C"/>
          </w:tcPr>
          <w:p>
            <w:pPr>
              <w:spacing w:after="40" w:before="40"/>
            </w:pPr>
            <w:r/>
            <w:r>
              <w:rPr>
                <w:rFonts w:ascii="Calibri" w:hAnsi="Calibri"/>
                <w:b/>
                <w:color w:val="FFFFFF"/>
                <w:sz w:val="21"/>
              </w:rPr>
              <w:t>Cycle Band</w:t>
            </w:r>
          </w:p>
        </w:tc>
        <w:tc>
          <w:tcPr>
            <w:tcW w:type="dxa" w:w="1350"/>
            <w:shd w:val="clear" w:fill="13233C"/>
          </w:tcPr>
          <w:p>
            <w:pPr>
              <w:spacing w:after="40" w:before="40"/>
            </w:pPr>
            <w:r/>
            <w:r>
              <w:rPr>
                <w:rFonts w:ascii="Calibri" w:hAnsi="Calibri"/>
                <w:b/>
                <w:color w:val="FFFFFF"/>
                <w:sz w:val="21"/>
              </w:rPr>
              <w:t>Cost per cycle</w:t>
            </w:r>
          </w:p>
        </w:tc>
        <w:tc>
          <w:tcPr>
            <w:tcW w:type="dxa" w:w="1050"/>
            <w:shd w:val="clear" w:fill="13233C"/>
          </w:tcPr>
          <w:p>
            <w:pPr>
              <w:spacing w:after="40" w:before="40"/>
            </w:pPr>
            <w:r/>
            <w:r>
              <w:rPr>
                <w:rFonts w:ascii="Calibri" w:hAnsi="Calibri"/>
                <w:b/>
                <w:color w:val="FFFFFF"/>
                <w:sz w:val="21"/>
              </w:rPr>
              <w:t>Setup</w:t>
            </w:r>
          </w:p>
        </w:tc>
        <w:tc>
          <w:tcPr>
            <w:tcW w:type="dxa" w:w="3150"/>
            <w:shd w:val="clear" w:fill="13233C"/>
          </w:tcPr>
          <w:p>
            <w:pPr>
              <w:spacing w:after="40" w:before="40"/>
            </w:pPr>
            <w:r/>
            <w:r>
              <w:rPr>
                <w:rFonts w:ascii="Calibri" w:hAnsi="Calibri"/>
                <w:b/>
                <w:color w:val="FFFFFF"/>
                <w:sz w:val="21"/>
              </w:rPr>
              <w:t>Best for</w:t>
            </w:r>
          </w:p>
        </w:tc>
      </w:tr>
      <w:tr>
        <w:tc>
          <w:tcPr>
            <w:tcW w:type="dxa" w:w="800"/>
          </w:tcPr>
          <w:p>
            <w:pPr>
              <w:spacing w:after="40" w:before="40"/>
            </w:pPr>
            <w:r/>
            <w:r>
              <w:rPr>
                <w:rFonts w:ascii="Calibri" w:hAnsi="Calibri"/>
                <w:b/>
                <w:sz w:val="20"/>
              </w:rPr>
              <w:t>Pilot</w:t>
            </w:r>
          </w:p>
        </w:tc>
        <w:tc>
          <w:tcPr>
            <w:tcW w:type="dxa" w:w="1600"/>
          </w:tcPr>
          <w:p>
            <w:pPr>
              <w:spacing w:after="40" w:before="40"/>
            </w:pPr>
            <w:r/>
            <w:r>
              <w:rPr>
                <w:rFonts w:ascii="Calibri" w:hAnsi="Calibri"/>
                <w:b w:val="0"/>
                <w:sz w:val="20"/>
              </w:rPr>
              <w:t>Free (6 months)</w:t>
            </w:r>
          </w:p>
        </w:tc>
        <w:tc>
          <w:tcPr>
            <w:tcW w:type="dxa" w:w="1050"/>
          </w:tcPr>
          <w:p>
            <w:pPr>
              <w:spacing w:after="40" w:before="40"/>
            </w:pPr>
            <w:r/>
            <w:r>
              <w:rPr>
                <w:rFonts w:ascii="Calibri" w:hAnsi="Calibri"/>
                <w:b w:val="0"/>
                <w:sz w:val="20"/>
              </w:rPr>
              <w:t>Up to 100</w:t>
            </w:r>
          </w:p>
        </w:tc>
        <w:tc>
          <w:tcPr>
            <w:tcW w:type="dxa" w:w="1350"/>
          </w:tcPr>
          <w:p>
            <w:pPr>
              <w:spacing w:after="40" w:before="40"/>
            </w:pPr>
            <w:r/>
            <w:r>
              <w:rPr>
                <w:rFonts w:ascii="Calibri" w:hAnsi="Calibri"/>
                <w:b w:val="0"/>
                <w:sz w:val="20"/>
              </w:rPr>
              <w:t>Free</w:t>
            </w:r>
          </w:p>
        </w:tc>
        <w:tc>
          <w:tcPr>
            <w:tcW w:type="dxa" w:w="1050"/>
          </w:tcPr>
          <w:p>
            <w:pPr>
              <w:spacing w:after="40" w:before="40"/>
            </w:pPr>
            <w:r/>
            <w:r>
              <w:rPr>
                <w:rFonts w:ascii="Calibri" w:hAnsi="Calibri"/>
                <w:b w:val="0"/>
                <w:sz w:val="20"/>
              </w:rPr>
              <w:t>Waived</w:t>
            </w:r>
          </w:p>
        </w:tc>
        <w:tc>
          <w:tcPr>
            <w:tcW w:type="dxa" w:w="3150"/>
          </w:tcPr>
          <w:p>
            <w:pPr>
              <w:spacing w:after="40" w:before="40"/>
            </w:pPr>
            <w:r/>
            <w:r>
              <w:rPr>
                <w:rFonts w:ascii="Calibri" w:hAnsi="Calibri"/>
                <w:b w:val="0"/>
                <w:sz w:val="20"/>
              </w:rPr>
              <w:t>First 3 clinics, for a testimonial</w:t>
            </w:r>
          </w:p>
        </w:tc>
      </w:tr>
      <w:tr>
        <w:tc>
          <w:tcPr>
            <w:tcW w:type="dxa" w:w="800"/>
            <w:shd w:val="clear" w:fill="F5F3FF"/>
          </w:tcPr>
          <w:p>
            <w:pPr>
              <w:spacing w:after="40" w:before="40"/>
            </w:pPr>
            <w:r/>
            <w:r>
              <w:rPr>
                <w:rFonts w:ascii="Calibri" w:hAnsi="Calibri"/>
                <w:b/>
                <w:sz w:val="20"/>
              </w:rPr>
              <w:t>Starter</w:t>
            </w:r>
          </w:p>
        </w:tc>
        <w:tc>
          <w:tcPr>
            <w:tcW w:type="dxa" w:w="1600"/>
            <w:shd w:val="clear" w:fill="F5F3FF"/>
          </w:tcPr>
          <w:p>
            <w:pPr>
              <w:spacing w:after="40" w:before="40"/>
            </w:pPr>
            <w:r/>
            <w:r>
              <w:rPr>
                <w:rFonts w:ascii="Calibri" w:hAnsi="Calibri"/>
                <w:b w:val="0"/>
                <w:sz w:val="20"/>
              </w:rPr>
              <w:t>55,000 AED</w:t>
            </w:r>
          </w:p>
        </w:tc>
        <w:tc>
          <w:tcPr>
            <w:tcW w:type="dxa" w:w="1050"/>
            <w:shd w:val="clear" w:fill="F5F3FF"/>
          </w:tcPr>
          <w:p>
            <w:pPr>
              <w:spacing w:after="40" w:before="40"/>
            </w:pPr>
            <w:r/>
            <w:r>
              <w:rPr>
                <w:rFonts w:ascii="Calibri" w:hAnsi="Calibri"/>
                <w:b w:val="0"/>
                <w:sz w:val="20"/>
              </w:rPr>
              <w:t>Up to 150</w:t>
            </w:r>
          </w:p>
        </w:tc>
        <w:tc>
          <w:tcPr>
            <w:tcW w:type="dxa" w:w="1350"/>
            <w:shd w:val="clear" w:fill="F5F3FF"/>
          </w:tcPr>
          <w:p>
            <w:pPr>
              <w:spacing w:after="40" w:before="40"/>
            </w:pPr>
            <w:r/>
            <w:r>
              <w:rPr>
                <w:rFonts w:ascii="Calibri" w:hAnsi="Calibri"/>
                <w:b w:val="0"/>
                <w:sz w:val="20"/>
              </w:rPr>
              <w:t>~370 AED</w:t>
            </w:r>
          </w:p>
        </w:tc>
        <w:tc>
          <w:tcPr>
            <w:tcW w:type="dxa" w:w="1050"/>
            <w:shd w:val="clear" w:fill="F5F3FF"/>
          </w:tcPr>
          <w:p>
            <w:pPr>
              <w:spacing w:after="40" w:before="40"/>
            </w:pPr>
            <w:r/>
            <w:r>
              <w:rPr>
                <w:rFonts w:ascii="Calibri" w:hAnsi="Calibri"/>
                <w:b w:val="0"/>
                <w:sz w:val="20"/>
              </w:rPr>
              <w:t>9,000 AED</w:t>
            </w:r>
          </w:p>
        </w:tc>
        <w:tc>
          <w:tcPr>
            <w:tcW w:type="dxa" w:w="3150"/>
            <w:shd w:val="clear" w:fill="F5F3FF"/>
          </w:tcPr>
          <w:p>
            <w:pPr>
              <w:spacing w:after="40" w:before="40"/>
            </w:pPr>
            <w:r/>
            <w:r>
              <w:rPr>
                <w:rFonts w:ascii="Calibri" w:hAnsi="Calibri"/>
                <w:b w:val="0"/>
                <w:sz w:val="20"/>
              </w:rPr>
              <w:t>Boutique single-site clinics</w:t>
            </w:r>
          </w:p>
        </w:tc>
      </w:tr>
      <w:tr>
        <w:tc>
          <w:tcPr>
            <w:tcW w:type="dxa" w:w="800"/>
          </w:tcPr>
          <w:p>
            <w:pPr>
              <w:spacing w:after="40" w:before="40"/>
            </w:pPr>
            <w:r/>
            <w:r>
              <w:rPr>
                <w:rFonts w:ascii="Calibri" w:hAnsi="Calibri"/>
                <w:b/>
                <w:sz w:val="20"/>
              </w:rPr>
              <w:t>Growth</w:t>
            </w:r>
          </w:p>
        </w:tc>
        <w:tc>
          <w:tcPr>
            <w:tcW w:type="dxa" w:w="1600"/>
          </w:tcPr>
          <w:p>
            <w:pPr>
              <w:spacing w:after="40" w:before="40"/>
            </w:pPr>
            <w:r/>
            <w:r>
              <w:rPr>
                <w:rFonts w:ascii="Calibri" w:hAnsi="Calibri"/>
                <w:b w:val="0"/>
                <w:sz w:val="20"/>
              </w:rPr>
              <w:t>99,000 AED</w:t>
            </w:r>
          </w:p>
        </w:tc>
        <w:tc>
          <w:tcPr>
            <w:tcW w:type="dxa" w:w="1050"/>
          </w:tcPr>
          <w:p>
            <w:pPr>
              <w:spacing w:after="40" w:before="40"/>
            </w:pPr>
            <w:r/>
            <w:r>
              <w:rPr>
                <w:rFonts w:ascii="Calibri" w:hAnsi="Calibri"/>
                <w:b w:val="0"/>
                <w:sz w:val="20"/>
              </w:rPr>
              <w:t>Up to 500</w:t>
            </w:r>
          </w:p>
        </w:tc>
        <w:tc>
          <w:tcPr>
            <w:tcW w:type="dxa" w:w="1350"/>
          </w:tcPr>
          <w:p>
            <w:pPr>
              <w:spacing w:after="40" w:before="40"/>
            </w:pPr>
            <w:r/>
            <w:r>
              <w:rPr>
                <w:rFonts w:ascii="Calibri" w:hAnsi="Calibri"/>
                <w:b w:val="0"/>
                <w:sz w:val="20"/>
              </w:rPr>
              <w:t>~198 AED</w:t>
            </w:r>
          </w:p>
        </w:tc>
        <w:tc>
          <w:tcPr>
            <w:tcW w:type="dxa" w:w="1050"/>
          </w:tcPr>
          <w:p>
            <w:pPr>
              <w:spacing w:after="40" w:before="40"/>
            </w:pPr>
            <w:r/>
            <w:r>
              <w:rPr>
                <w:rFonts w:ascii="Calibri" w:hAnsi="Calibri"/>
                <w:b w:val="0"/>
                <w:sz w:val="20"/>
              </w:rPr>
              <w:t>18,000 AED</w:t>
            </w:r>
          </w:p>
        </w:tc>
        <w:tc>
          <w:tcPr>
            <w:tcW w:type="dxa" w:w="3150"/>
          </w:tcPr>
          <w:p>
            <w:pPr>
              <w:spacing w:after="40" w:before="40"/>
            </w:pPr>
            <w:r/>
            <w:r>
              <w:rPr>
                <w:rFonts w:ascii="Calibri" w:hAnsi="Calibri"/>
                <w:b w:val="0"/>
                <w:sz w:val="20"/>
              </w:rPr>
              <w:t>Mid-size fertility centres</w:t>
            </w:r>
          </w:p>
        </w:tc>
      </w:tr>
      <w:tr>
        <w:tc>
          <w:tcPr>
            <w:tcW w:type="dxa" w:w="800"/>
            <w:shd w:val="clear" w:fill="F5F3FF"/>
          </w:tcPr>
          <w:p>
            <w:pPr>
              <w:spacing w:after="40" w:before="40"/>
            </w:pPr>
            <w:r/>
            <w:r>
              <w:rPr>
                <w:rFonts w:ascii="Calibri" w:hAnsi="Calibri"/>
                <w:b/>
                <w:sz w:val="20"/>
              </w:rPr>
              <w:t>Scale</w:t>
            </w:r>
          </w:p>
        </w:tc>
        <w:tc>
          <w:tcPr>
            <w:tcW w:type="dxa" w:w="1600"/>
            <w:shd w:val="clear" w:fill="F5F3FF"/>
          </w:tcPr>
          <w:p>
            <w:pPr>
              <w:spacing w:after="40" w:before="40"/>
            </w:pPr>
            <w:r/>
            <w:r>
              <w:rPr>
                <w:rFonts w:ascii="Calibri" w:hAnsi="Calibri"/>
                <w:b w:val="0"/>
                <w:sz w:val="20"/>
              </w:rPr>
              <w:t>249,000 AED / site</w:t>
            </w:r>
          </w:p>
        </w:tc>
        <w:tc>
          <w:tcPr>
            <w:tcW w:type="dxa" w:w="1050"/>
            <w:shd w:val="clear" w:fill="F5F3FF"/>
          </w:tcPr>
          <w:p>
            <w:pPr>
              <w:spacing w:after="40" w:before="40"/>
            </w:pPr>
            <w:r/>
            <w:r>
              <w:rPr>
                <w:rFonts w:ascii="Calibri" w:hAnsi="Calibri"/>
                <w:b w:val="0"/>
                <w:sz w:val="20"/>
              </w:rPr>
              <w:t>500+</w:t>
            </w:r>
          </w:p>
        </w:tc>
        <w:tc>
          <w:tcPr>
            <w:tcW w:type="dxa" w:w="1350"/>
            <w:shd w:val="clear" w:fill="F5F3FF"/>
          </w:tcPr>
          <w:p>
            <w:pPr>
              <w:spacing w:after="40" w:before="40"/>
            </w:pPr>
            <w:r/>
            <w:r>
              <w:rPr>
                <w:rFonts w:ascii="Calibri" w:hAnsi="Calibri"/>
                <w:b w:val="0"/>
                <w:sz w:val="20"/>
              </w:rPr>
              <w:t>~166 to 249 AED</w:t>
            </w:r>
          </w:p>
        </w:tc>
        <w:tc>
          <w:tcPr>
            <w:tcW w:type="dxa" w:w="1050"/>
            <w:shd w:val="clear" w:fill="F5F3FF"/>
          </w:tcPr>
          <w:p>
            <w:pPr>
              <w:spacing w:after="40" w:before="40"/>
            </w:pPr>
            <w:r/>
            <w:r>
              <w:rPr>
                <w:rFonts w:ascii="Calibri" w:hAnsi="Calibri"/>
                <w:b w:val="0"/>
                <w:sz w:val="20"/>
              </w:rPr>
              <w:t>35,000 AED</w:t>
            </w:r>
          </w:p>
        </w:tc>
        <w:tc>
          <w:tcPr>
            <w:tcW w:type="dxa" w:w="3150"/>
            <w:shd w:val="clear" w:fill="F5F3FF"/>
          </w:tcPr>
          <w:p>
            <w:pPr>
              <w:spacing w:after="40" w:before="40"/>
            </w:pPr>
            <w:r/>
            <w:r>
              <w:rPr>
                <w:rFonts w:ascii="Calibri" w:hAnsi="Calibri"/>
                <w:b w:val="0"/>
                <w:sz w:val="20"/>
              </w:rPr>
              <w:t>Hospital groups and chains</w:t>
            </w:r>
          </w:p>
        </w:tc>
      </w:tr>
    </w:tbl>
    <w:p>
      <w:pPr>
        <w:spacing w:after="40"/>
      </w:pPr>
    </w:p>
    <w:p>
      <w:pPr>
        <w:spacing w:after="120"/>
      </w:pPr>
      <w:r>
        <w:rPr>
          <w:i/>
          <w:color w:val="132035"/>
          <w:sz w:val="20"/>
        </w:rPr>
        <w:t>The one-time setup fee covers nurse training, protocol configuration, and data onboarding, which is standard practice for clinical software here. Connecting to Malaffi or a hospital's existing systems is quoted per project (typically from 25,000 AED), the kind of integration enterprise buyers expect to pay for.</w:t>
      </w:r>
    </w:p>
    <w:p>
      <w:pPr>
        <w:spacing w:after="120"/>
      </w:pPr>
      <w:r>
        <w:rPr>
          <w:i/>
          <w:color w:val="132035"/>
          <w:sz w:val="20"/>
        </w:rPr>
        <w:t>We price deliberately. The 99,000 AED Growth licence is about 0.6% of a 500-cycle clinic's annual revenue and sits just under the level that usually triggers board sign-off, so a medical director or GM can approve it directly and we close faster. We hold the heavier pricing for the Scale tier, where hospital groups expect enterprise terms and have the budget to match.</w:t>
      </w:r>
      <w:r>
        <w:rPr>
          <w:rFonts w:ascii="Calibri" w:hAnsi="Calibri"/>
          <w:i/>
          <w:color w:val="132035"/>
          <w:sz w:val="20"/>
        </w:rPr>
        <w:t xml:space="preserve"> Across the paid tiers the licence works out to roughly 170 to 370 AED per cycle, a small fraction of the 30,000 to 55,000 AED a clinic charges for that cycle.</w:t>
      </w:r>
    </w:p>
    <w:p>
      <w:pPr>
        <w:pStyle w:val="Heading2"/>
      </w:pPr>
      <w:r>
        <w:t>Engine 2: Co-Branded Cycle Bundle (Only If Validated)</w:t>
      </w:r>
    </w:p>
    <w:p>
      <w:pPr>
        <w:spacing w:after="120"/>
      </w:pPr>
      <w:r>
        <w:rPr>
          <w:i w:val="0"/>
          <w:sz w:val="22"/>
        </w:rPr>
        <w:t>A potential second model for Year 2, but only after we test it with real clinic directors during the pilots. Instead of paying us a subscription, the clinic folds Ovify into its standard cycle package:</w:t>
      </w:r>
    </w:p>
    <w:p>
      <w:pPr>
        <w:pStyle w:val="ListBullet"/>
        <w:spacing w:after="60"/>
      </w:pPr>
      <w:r>
        <w:t xml:space="preserve"> The clinic adds a 350 AED care-support fee to the cycle invoice (under 1% of a 35,000 AED bill).</w:t>
      </w:r>
    </w:p>
    <w:p>
      <w:pPr>
        <w:pStyle w:val="ListBullet"/>
        <w:spacing w:after="60"/>
      </w:pPr>
      <w:r>
        <w:t xml:space="preserve"> The clinic pays Ovify 150 AED per cycle and keeps 200 AED as its own margin, turning our platform into a small profit centre for them.</w:t>
      </w:r>
    </w:p>
    <w:p>
      <w:pPr>
        <w:spacing w:after="120"/>
      </w:pPr>
      <w:r>
        <w:rPr>
          <w:i/>
          <w:color w:val="132035"/>
          <w:sz w:val="20"/>
        </w:rPr>
        <w:t>We are deliberately conservative here: this engine stays off our core projections until at least two of three pilot directors confirm they would adopt it. If they say no, the subscription business stands on its own.</w:t>
      </w:r>
    </w:p>
    <w:p>
      <w:pPr>
        <w:pStyle w:val="Heading2"/>
      </w:pPr>
      <w:r>
        <w:t>Engine 3: Wellness &amp; Partner Network (from Year 2)</w:t>
      </w:r>
    </w:p>
    <w:p>
      <w:pPr>
        <w:spacing w:after="120"/>
      </w:pPr>
      <w:r>
        <w:rPr>
          <w:i w:val="0"/>
          <w:sz w:val="22"/>
        </w:rPr>
        <w:t>Once patients are active on Ovify, we can gently connect them with trusted services that genuinely help during treatment, and earn a small income while doing so. This is always opt-in and only shown when it is relevant, never pushed on an anxious patient.</w:t>
      </w:r>
    </w:p>
    <w:p>
      <w:pPr>
        <w:pStyle w:val="ListBullet"/>
        <w:spacing w:after="60"/>
      </w:pPr>
      <w:r>
        <w:rPr>
          <w:b/>
        </w:rPr>
        <w:t xml:space="preserve">Wellness sessions: </w:t>
      </w:r>
      <w:r>
        <w:t xml:space="preserve"> Fertility-friendly yoga and relaxation sessions offered through vetted partners. We earn a margin or commission on each session a patient books.</w:t>
      </w:r>
    </w:p>
    <w:p>
      <w:pPr>
        <w:pStyle w:val="ListBullet"/>
        <w:spacing w:after="60"/>
      </w:pPr>
      <w:r>
        <w:rPr>
          <w:b/>
        </w:rPr>
        <w:t xml:space="preserve">Specialist listings: </w:t>
      </w:r>
      <w:r>
        <w:t xml:space="preserve"> A small annual listing fee from vetted nutritionists and fertility psychologists who want to reach our patients.</w:t>
      </w:r>
    </w:p>
    <w:p>
      <w:pPr>
        <w:pStyle w:val="ListBullet"/>
        <w:spacing w:after="60"/>
      </w:pPr>
      <w:r>
        <w:rPr>
          <w:b/>
        </w:rPr>
        <w:t xml:space="preserve">Financing referrals: </w:t>
      </w:r>
      <w:r>
        <w:t xml:space="preserve"> Patients who ask about payment options can be referred to a trusted fertility-financing partner. We earn a referral fee for each funded loan.</w:t>
      </w:r>
    </w:p>
    <w:p>
      <w:pPr>
        <w:spacing w:after="120"/>
      </w:pPr>
      <w:r>
        <w:rPr>
          <w:i/>
          <w:color w:val="132035"/>
          <w:sz w:val="20"/>
        </w:rPr>
        <w:t>These are modest, opt-in streams that grow with our patient base. We size them conservatively (about 50,000 AED in Year 2, rising to 150,000 AED in Year 3) and treat them as upside, not a reason to divert focus from the core platform.</w:t>
      </w:r>
    </w:p>
    <w:p>
      <w:pPr>
        <w:pStyle w:val="Heading1"/>
      </w:pPr>
      <w:r>
        <w:t>8. Getting to Market: The Pilot Plan</w:t>
      </w:r>
    </w:p>
    <w:p>
      <w:pPr>
        <w:pStyle w:val="ListBullet"/>
        <w:spacing w:after="60"/>
      </w:pPr>
      <w:r>
        <w:rPr>
          <w:b/>
        </w:rPr>
        <w:t xml:space="preserve">Start focused: </w:t>
      </w:r>
      <w:r>
        <w:t xml:space="preserve"> Deploy free with exactly three Abu Dhabi clinics for a fixed six-month window.</w:t>
      </w:r>
    </w:p>
    <w:p>
      <w:pPr>
        <w:pStyle w:val="ListBullet"/>
        <w:spacing w:after="60"/>
      </w:pPr>
      <w:r>
        <w:rPr>
          <w:b/>
        </w:rPr>
        <w:t xml:space="preserve">Prove value early: </w:t>
      </w:r>
      <w:r>
        <w:t xml:space="preserve"> At month four, sit down with each clinic director and show the hard numbers: nurse hours saved, doses confirmed, dropouts prevented.</w:t>
      </w:r>
    </w:p>
    <w:p>
      <w:pPr>
        <w:pStyle w:val="ListBullet"/>
        <w:spacing w:after="60"/>
      </w:pPr>
      <w:r>
        <w:rPr>
          <w:b/>
        </w:rPr>
        <w:t xml:space="preserve">Convert honestly: </w:t>
      </w:r>
      <w:r>
        <w:t xml:space="preserve"> Present the annual contract in month five. Our target is to convert two of the three pilots. Pilots that choose not to continue wind down at the end of month six, fairly and as agreed up front, so the pilot stays a genuine trial rather than indefinite free service.</w:t>
      </w:r>
    </w:p>
    <w:p>
      <w:pPr>
        <w:pStyle w:val="ListBullet"/>
        <w:spacing w:after="60"/>
      </w:pPr>
      <w:r>
        <w:rPr>
          <w:b/>
        </w:rPr>
        <w:t xml:space="preserve">Then scale: </w:t>
      </w:r>
      <w:r>
        <w:t xml:space="preserve"> With Hub71's network behind us, we expand to Dubai in Year 2 and enter Saudi Arabia in Year 3, where cycle volumes and fertility spend are highest.</w:t>
      </w:r>
    </w:p>
    <w:p>
      <w:pPr>
        <w:pStyle w:val="Heading1"/>
      </w:pPr>
      <w:r>
        <w:t>9. Regulation, Data &amp; Licensing</w:t>
      </w:r>
    </w:p>
    <w:p>
      <w:pPr>
        <w:spacing w:after="120"/>
      </w:pPr>
      <w:r>
        <w:rPr>
          <w:i w:val="0"/>
          <w:sz w:val="22"/>
        </w:rPr>
        <w:t>Health software in the UAE lives or dies on compliance. We have built our plan around it from day one:</w:t>
      </w:r>
    </w:p>
    <w:tbl>
      <w:tblPr>
        <w:tblStyle w:val="TableGrid"/>
        <w:tblW w:type="auto" w:w="0"/>
        <w:jc w:val="center"/>
        <w:tblLook w:firstColumn="1" w:firstRow="1" w:lastColumn="0" w:lastRow="0" w:noHBand="0" w:noVBand="1" w:val="04A0"/>
      </w:tblPr>
      <w:tblGrid>
        <w:gridCol w:w="4320"/>
        <w:gridCol w:w="4320"/>
      </w:tblGrid>
      <w:tr>
        <w:tc>
          <w:tcPr>
            <w:tcW w:type="dxa" w:w="3456"/>
            <w:shd w:val="clear" w:fill="13233C"/>
          </w:tcPr>
          <w:p>
            <w:pPr>
              <w:spacing w:after="40" w:before="40"/>
            </w:pPr>
            <w:r/>
            <w:r>
              <w:rPr>
                <w:rFonts w:ascii="Calibri" w:hAnsi="Calibri"/>
                <w:b/>
                <w:color w:val="FFFFFF"/>
                <w:sz w:val="21"/>
              </w:rPr>
              <w:t>Area</w:t>
            </w:r>
          </w:p>
        </w:tc>
        <w:tc>
          <w:tcPr>
            <w:tcW w:type="dxa" w:w="9504"/>
            <w:shd w:val="clear" w:fill="13233C"/>
          </w:tcPr>
          <w:p>
            <w:pPr>
              <w:spacing w:after="40" w:before="40"/>
            </w:pPr>
            <w:r/>
            <w:r>
              <w:rPr>
                <w:rFonts w:ascii="Calibri" w:hAnsi="Calibri"/>
                <w:b/>
                <w:color w:val="FFFFFF"/>
                <w:sz w:val="21"/>
              </w:rPr>
              <w:t>Our approach</w:t>
            </w:r>
          </w:p>
        </w:tc>
      </w:tr>
      <w:tr>
        <w:tc>
          <w:tcPr>
            <w:tcW w:type="dxa" w:w="3456"/>
          </w:tcPr>
          <w:p>
            <w:pPr>
              <w:spacing w:after="40" w:before="40"/>
            </w:pPr>
            <w:r/>
            <w:r>
              <w:rPr>
                <w:rFonts w:ascii="Calibri" w:hAnsi="Calibri"/>
                <w:b/>
                <w:sz w:val="20"/>
              </w:rPr>
              <w:t>Clinic &amp; data licensing</w:t>
            </w:r>
          </w:p>
        </w:tc>
        <w:tc>
          <w:tcPr>
            <w:tcW w:type="dxa" w:w="9504"/>
          </w:tcPr>
          <w:p>
            <w:pPr>
              <w:spacing w:after="40" w:before="40"/>
            </w:pPr>
            <w:r/>
            <w:r>
              <w:rPr>
                <w:rFonts w:ascii="Calibri" w:hAnsi="Calibri"/>
                <w:b w:val="0"/>
                <w:sz w:val="20"/>
              </w:rPr>
              <w:t>Operate under DoH-aligned data handling and pursue the relevant health-IT approvals before any patient data goes live in Abu Dhabi.</w:t>
            </w:r>
          </w:p>
        </w:tc>
      </w:tr>
      <w:tr>
        <w:tc>
          <w:tcPr>
            <w:tcW w:type="dxa" w:w="3456"/>
            <w:shd w:val="clear" w:fill="F5F3FF"/>
          </w:tcPr>
          <w:p>
            <w:pPr>
              <w:spacing w:after="40" w:before="40"/>
            </w:pPr>
            <w:r/>
            <w:r>
              <w:rPr>
                <w:rFonts w:ascii="Calibri" w:hAnsi="Calibri"/>
                <w:b/>
                <w:sz w:val="20"/>
              </w:rPr>
              <w:t>Health information exchange</w:t>
            </w:r>
          </w:p>
        </w:tc>
        <w:tc>
          <w:tcPr>
            <w:tcW w:type="dxa" w:w="9504"/>
            <w:shd w:val="clear" w:fill="F5F3FF"/>
          </w:tcPr>
          <w:p>
            <w:pPr>
              <w:spacing w:after="40" w:before="40"/>
            </w:pPr>
            <w:r/>
            <w:r>
              <w:rPr>
                <w:rFonts w:ascii="Calibri" w:hAnsi="Calibri"/>
                <w:b w:val="0"/>
                <w:sz w:val="20"/>
              </w:rPr>
              <w:t>Design to integrate with Malaffi (Abu Dhabi's unified health record) rather than work around it.</w:t>
            </w:r>
          </w:p>
        </w:tc>
      </w:tr>
      <w:tr>
        <w:tc>
          <w:tcPr>
            <w:tcW w:type="dxa" w:w="3456"/>
          </w:tcPr>
          <w:p>
            <w:pPr>
              <w:spacing w:after="40" w:before="40"/>
            </w:pPr>
            <w:r/>
            <w:r>
              <w:rPr>
                <w:rFonts w:ascii="Calibri" w:hAnsi="Calibri"/>
                <w:b/>
                <w:sz w:val="20"/>
              </w:rPr>
              <w:t>Data residency &amp; privacy</w:t>
            </w:r>
          </w:p>
        </w:tc>
        <w:tc>
          <w:tcPr>
            <w:tcW w:type="dxa" w:w="9504"/>
          </w:tcPr>
          <w:p>
            <w:pPr>
              <w:spacing w:after="40" w:before="40"/>
            </w:pPr>
            <w:r/>
            <w:r>
              <w:rPr>
                <w:rFonts w:ascii="Calibri" w:hAnsi="Calibri"/>
                <w:b w:val="0"/>
                <w:sz w:val="20"/>
              </w:rPr>
              <w:t>Host patient data in-region and comply with UAE data-protection law (PDPL), with consent, encryption, and audit trails built in.</w:t>
            </w:r>
          </w:p>
        </w:tc>
      </w:tr>
      <w:tr>
        <w:tc>
          <w:tcPr>
            <w:tcW w:type="dxa" w:w="3456"/>
            <w:shd w:val="clear" w:fill="F5F3FF"/>
          </w:tcPr>
          <w:p>
            <w:pPr>
              <w:spacing w:after="40" w:before="40"/>
            </w:pPr>
            <w:r/>
            <w:r>
              <w:rPr>
                <w:rFonts w:ascii="Calibri" w:hAnsi="Calibri"/>
                <w:b/>
                <w:sz w:val="20"/>
              </w:rPr>
              <w:t>Medical-device boundary</w:t>
            </w:r>
          </w:p>
        </w:tc>
        <w:tc>
          <w:tcPr>
            <w:tcW w:type="dxa" w:w="9504"/>
            <w:shd w:val="clear" w:fill="F5F3FF"/>
          </w:tcPr>
          <w:p>
            <w:pPr>
              <w:spacing w:after="40" w:before="40"/>
            </w:pPr>
            <w:r/>
            <w:r>
              <w:rPr>
                <w:rFonts w:ascii="Calibri" w:hAnsi="Calibri"/>
                <w:b w:val="0"/>
                <w:sz w:val="20"/>
              </w:rPr>
              <w:t>Ovify is an adherence and coordination tool, not a diagnostic device. Our AI prioritises which patients a nurse should contact first; it does not diagnose or make clinical decisions. Wellbeing check-ins are non-diagnostic by design, which keeps us on the non-diagnostic side of the medical-device line.</w:t>
            </w:r>
          </w:p>
        </w:tc>
      </w:tr>
    </w:tbl>
    <w:p>
      <w:pPr>
        <w:spacing w:after="40"/>
      </w:pPr>
    </w:p>
    <w:p>
      <w:pPr>
        <w:spacing w:after="120"/>
      </w:pPr>
      <w:r>
        <w:rPr>
          <w:i/>
          <w:color w:val="132035"/>
          <w:sz w:val="20"/>
        </w:rPr>
        <w:t>Treating compliance as a feature, not an afterthought, is also a selling point. It is exactly what makes a clinic comfortable putting patient data on our platform.</w:t>
      </w:r>
    </w:p>
    <w:p>
      <w:pPr>
        <w:pStyle w:val="Heading1"/>
      </w:pPr>
      <w:r>
        <w:t>10. The Three-Year Financial Picture (AED)</w:t>
      </w:r>
    </w:p>
    <w:p>
      <w:pPr>
        <w:spacing w:after="120"/>
      </w:pPr>
      <w:r>
        <w:rPr>
          <w:i w:val="0"/>
          <w:sz w:val="22"/>
        </w:rPr>
        <w:t>Our projections are built bottom-up from conservative clinic counts, not optimistic growth curves. They tie directly to our internal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888"/>
            <w:shd w:val="clear" w:fill="13233C"/>
          </w:tcPr>
          <w:p>
            <w:pPr>
              <w:spacing w:after="40" w:before="40"/>
            </w:pPr>
            <w:r/>
            <w:r>
              <w:rPr>
                <w:rFonts w:ascii="Calibri" w:hAnsi="Calibri"/>
                <w:b/>
                <w:color w:val="FFFFFF"/>
                <w:sz w:val="21"/>
              </w:rPr>
              <w:t>Metric</w:t>
            </w:r>
          </w:p>
        </w:tc>
        <w:tc>
          <w:tcPr>
            <w:tcW w:type="dxa" w:w="3024"/>
            <w:shd w:val="clear" w:fill="13233C"/>
          </w:tcPr>
          <w:p>
            <w:pPr>
              <w:spacing w:after="40" w:before="40"/>
            </w:pPr>
            <w:r/>
            <w:r>
              <w:rPr>
                <w:rFonts w:ascii="Calibri" w:hAnsi="Calibri"/>
                <w:b/>
                <w:color w:val="FFFFFF"/>
                <w:sz w:val="21"/>
              </w:rPr>
              <w:t>Year 1</w:t>
            </w:r>
          </w:p>
        </w:tc>
        <w:tc>
          <w:tcPr>
            <w:tcW w:type="dxa" w:w="3024"/>
            <w:shd w:val="clear" w:fill="13233C"/>
          </w:tcPr>
          <w:p>
            <w:pPr>
              <w:spacing w:after="40" w:before="40"/>
            </w:pPr>
            <w:r/>
            <w:r>
              <w:rPr>
                <w:rFonts w:ascii="Calibri" w:hAnsi="Calibri"/>
                <w:b/>
                <w:color w:val="FFFFFF"/>
                <w:sz w:val="21"/>
              </w:rPr>
              <w:t>Year 2</w:t>
            </w:r>
          </w:p>
        </w:tc>
        <w:tc>
          <w:tcPr>
            <w:tcW w:type="dxa" w:w="3024"/>
            <w:shd w:val="clear" w:fill="13233C"/>
          </w:tcPr>
          <w:p>
            <w:pPr>
              <w:spacing w:after="40" w:before="40"/>
            </w:pPr>
            <w:r/>
            <w:r>
              <w:rPr>
                <w:rFonts w:ascii="Calibri" w:hAnsi="Calibri"/>
                <w:b/>
                <w:color w:val="FFFFFF"/>
                <w:sz w:val="21"/>
              </w:rPr>
              <w:t>Year 3</w:t>
            </w:r>
          </w:p>
        </w:tc>
      </w:tr>
      <w:tr>
        <w:tc>
          <w:tcPr>
            <w:tcW w:type="dxa" w:w="3888"/>
          </w:tcPr>
          <w:p>
            <w:pPr>
              <w:spacing w:after="40" w:before="40"/>
            </w:pPr>
            <w:r/>
            <w:r>
              <w:rPr>
                <w:rFonts w:ascii="Calibri" w:hAnsi="Calibri"/>
                <w:b/>
                <w:sz w:val="20"/>
              </w:rPr>
              <w:t>Paying clinics</w:t>
            </w:r>
          </w:p>
        </w:tc>
        <w:tc>
          <w:tcPr>
            <w:tcW w:type="dxa" w:w="3024"/>
          </w:tcPr>
          <w:p>
            <w:pPr>
              <w:spacing w:after="40" w:before="40"/>
            </w:pPr>
            <w:r/>
            <w:r>
              <w:rPr>
                <w:rFonts w:ascii="Calibri" w:hAnsi="Calibri"/>
                <w:b w:val="0"/>
                <w:sz w:val="20"/>
              </w:rPr>
              <w:t>2</w:t>
            </w:r>
          </w:p>
        </w:tc>
        <w:tc>
          <w:tcPr>
            <w:tcW w:type="dxa" w:w="3024"/>
          </w:tcPr>
          <w:p>
            <w:pPr>
              <w:spacing w:after="40" w:before="40"/>
            </w:pPr>
            <w:r/>
            <w:r>
              <w:rPr>
                <w:rFonts w:ascii="Calibri" w:hAnsi="Calibri"/>
                <w:b w:val="0"/>
                <w:sz w:val="20"/>
              </w:rPr>
              <w:t>6</w:t>
            </w:r>
          </w:p>
        </w:tc>
        <w:tc>
          <w:tcPr>
            <w:tcW w:type="dxa" w:w="3024"/>
          </w:tcPr>
          <w:p>
            <w:pPr>
              <w:spacing w:after="40" w:before="40"/>
            </w:pPr>
            <w:r/>
            <w:r>
              <w:rPr>
                <w:rFonts w:ascii="Calibri" w:hAnsi="Calibri"/>
                <w:b w:val="0"/>
                <w:sz w:val="20"/>
              </w:rPr>
              <w:t>13</w:t>
            </w:r>
          </w:p>
        </w:tc>
      </w:tr>
      <w:tr>
        <w:tc>
          <w:tcPr>
            <w:tcW w:type="dxa" w:w="3888"/>
            <w:shd w:val="clear" w:fill="F5F3FF"/>
          </w:tcPr>
          <w:p>
            <w:pPr>
              <w:spacing w:after="40" w:before="40"/>
            </w:pPr>
            <w:r/>
            <w:r>
              <w:rPr>
                <w:rFonts w:ascii="Calibri" w:hAnsi="Calibri"/>
                <w:b/>
                <w:sz w:val="20"/>
              </w:rPr>
              <w:t>Cycles processed</w:t>
            </w:r>
          </w:p>
        </w:tc>
        <w:tc>
          <w:tcPr>
            <w:tcW w:type="dxa" w:w="3024"/>
            <w:shd w:val="clear" w:fill="F5F3FF"/>
          </w:tcPr>
          <w:p>
            <w:pPr>
              <w:spacing w:after="40" w:before="40"/>
            </w:pPr>
            <w:r/>
            <w:r>
              <w:rPr>
                <w:rFonts w:ascii="Calibri" w:hAnsi="Calibri"/>
                <w:b w:val="0"/>
                <w:sz w:val="20"/>
              </w:rPr>
              <w:t>400</w:t>
            </w:r>
          </w:p>
        </w:tc>
        <w:tc>
          <w:tcPr>
            <w:tcW w:type="dxa" w:w="3024"/>
            <w:shd w:val="clear" w:fill="F5F3FF"/>
          </w:tcPr>
          <w:p>
            <w:pPr>
              <w:spacing w:after="40" w:before="40"/>
            </w:pPr>
            <w:r/>
            <w:r>
              <w:rPr>
                <w:rFonts w:ascii="Calibri" w:hAnsi="Calibri"/>
                <w:b w:val="0"/>
                <w:sz w:val="20"/>
              </w:rPr>
              <w:t>2,200</w:t>
            </w:r>
          </w:p>
        </w:tc>
        <w:tc>
          <w:tcPr>
            <w:tcW w:type="dxa" w:w="3024"/>
            <w:shd w:val="clear" w:fill="F5F3FF"/>
          </w:tcPr>
          <w:p>
            <w:pPr>
              <w:spacing w:after="40" w:before="40"/>
            </w:pPr>
            <w:r/>
            <w:r>
              <w:rPr>
                <w:rFonts w:ascii="Calibri" w:hAnsi="Calibri"/>
                <w:b w:val="0"/>
                <w:sz w:val="20"/>
              </w:rPr>
              <w:t>5,500</w:t>
            </w:r>
          </w:p>
        </w:tc>
      </w:tr>
      <w:tr>
        <w:tc>
          <w:tcPr>
            <w:tcW w:type="dxa" w:w="3888"/>
          </w:tcPr>
          <w:p>
            <w:pPr>
              <w:spacing w:after="40" w:before="40"/>
            </w:pPr>
            <w:r/>
            <w:r>
              <w:rPr>
                <w:rFonts w:ascii="Calibri" w:hAnsi="Calibri"/>
                <w:b/>
                <w:sz w:val="20"/>
              </w:rPr>
              <w:t>Total revenue</w:t>
            </w:r>
          </w:p>
        </w:tc>
        <w:tc>
          <w:tcPr>
            <w:tcW w:type="dxa" w:w="3024"/>
          </w:tcPr>
          <w:p>
            <w:pPr>
              <w:spacing w:after="40" w:before="40"/>
            </w:pPr>
            <w:r/>
            <w:r>
              <w:rPr>
                <w:rFonts w:ascii="Calibri" w:hAnsi="Calibri"/>
                <w:b w:val="0"/>
                <w:sz w:val="20"/>
              </w:rPr>
              <w:t>131,500</w:t>
            </w:r>
          </w:p>
        </w:tc>
        <w:tc>
          <w:tcPr>
            <w:tcW w:type="dxa" w:w="3024"/>
          </w:tcPr>
          <w:p>
            <w:pPr>
              <w:spacing w:after="40" w:before="40"/>
            </w:pPr>
            <w:r/>
            <w:r>
              <w:rPr>
                <w:rFonts w:ascii="Calibri" w:hAnsi="Calibri"/>
                <w:b w:val="0"/>
                <w:sz w:val="20"/>
              </w:rPr>
              <w:t>885,000</w:t>
            </w:r>
          </w:p>
        </w:tc>
        <w:tc>
          <w:tcPr>
            <w:tcW w:type="dxa" w:w="3024"/>
          </w:tcPr>
          <w:p>
            <w:pPr>
              <w:spacing w:after="40" w:before="40"/>
            </w:pPr>
            <w:r/>
            <w:r>
              <w:rPr>
                <w:rFonts w:ascii="Calibri" w:hAnsi="Calibri"/>
                <w:b w:val="0"/>
                <w:sz w:val="20"/>
              </w:rPr>
              <w:t>2,318,500</w:t>
            </w:r>
          </w:p>
        </w:tc>
      </w:tr>
      <w:tr>
        <w:tc>
          <w:tcPr>
            <w:tcW w:type="dxa" w:w="3888"/>
            <w:shd w:val="clear" w:fill="F5F3FF"/>
          </w:tcPr>
          <w:p>
            <w:pPr>
              <w:spacing w:after="40" w:before="40"/>
            </w:pPr>
            <w:r/>
            <w:r>
              <w:rPr>
                <w:rFonts w:ascii="Calibri" w:hAnsi="Calibri"/>
                <w:b/>
                <w:sz w:val="20"/>
              </w:rPr>
              <w:t>Operating costs</w:t>
            </w:r>
          </w:p>
        </w:tc>
        <w:tc>
          <w:tcPr>
            <w:tcW w:type="dxa" w:w="3024"/>
            <w:shd w:val="clear" w:fill="F5F3FF"/>
          </w:tcPr>
          <w:p>
            <w:pPr>
              <w:spacing w:after="40" w:before="40"/>
            </w:pPr>
            <w:r/>
            <w:r>
              <w:rPr>
                <w:rFonts w:ascii="Calibri" w:hAnsi="Calibri"/>
                <w:b w:val="0"/>
                <w:sz w:val="20"/>
              </w:rPr>
              <w:t>511,500</w:t>
            </w:r>
          </w:p>
        </w:tc>
        <w:tc>
          <w:tcPr>
            <w:tcW w:type="dxa" w:w="3024"/>
            <w:shd w:val="clear" w:fill="F5F3FF"/>
          </w:tcPr>
          <w:p>
            <w:pPr>
              <w:spacing w:after="40" w:before="40"/>
            </w:pPr>
            <w:r/>
            <w:r>
              <w:rPr>
                <w:rFonts w:ascii="Calibri" w:hAnsi="Calibri"/>
                <w:b w:val="0"/>
                <w:sz w:val="20"/>
              </w:rPr>
              <w:t>809,600</w:t>
            </w:r>
          </w:p>
        </w:tc>
        <w:tc>
          <w:tcPr>
            <w:tcW w:type="dxa" w:w="3024"/>
            <w:shd w:val="clear" w:fill="F5F3FF"/>
          </w:tcPr>
          <w:p>
            <w:pPr>
              <w:spacing w:after="40" w:before="40"/>
            </w:pPr>
            <w:r/>
            <w:r>
              <w:rPr>
                <w:rFonts w:ascii="Calibri" w:hAnsi="Calibri"/>
                <w:b w:val="0"/>
                <w:sz w:val="20"/>
              </w:rPr>
              <w:t>1,200,100</w:t>
            </w:r>
          </w:p>
        </w:tc>
      </w:tr>
      <w:tr>
        <w:tc>
          <w:tcPr>
            <w:tcW w:type="dxa" w:w="3888"/>
          </w:tcPr>
          <w:p>
            <w:pPr>
              <w:spacing w:after="40" w:before="40"/>
            </w:pPr>
            <w:r/>
            <w:r>
              <w:rPr>
                <w:rFonts w:ascii="Calibri" w:hAnsi="Calibri"/>
                <w:b/>
                <w:sz w:val="20"/>
              </w:rPr>
              <w:t>Net profit / (loss)</w:t>
            </w:r>
          </w:p>
        </w:tc>
        <w:tc>
          <w:tcPr>
            <w:tcW w:type="dxa" w:w="3024"/>
          </w:tcPr>
          <w:p>
            <w:pPr>
              <w:spacing w:after="40" w:before="40"/>
            </w:pPr>
            <w:r/>
            <w:r>
              <w:rPr>
                <w:rFonts w:ascii="Calibri" w:hAnsi="Calibri"/>
                <w:b w:val="0"/>
                <w:sz w:val="20"/>
              </w:rPr>
              <w:t>(380,000)</w:t>
            </w:r>
          </w:p>
        </w:tc>
        <w:tc>
          <w:tcPr>
            <w:tcW w:type="dxa" w:w="3024"/>
          </w:tcPr>
          <w:p>
            <w:pPr>
              <w:spacing w:after="40" w:before="40"/>
            </w:pPr>
            <w:r/>
            <w:r>
              <w:rPr>
                <w:rFonts w:ascii="Calibri" w:hAnsi="Calibri"/>
                <w:b w:val="0"/>
                <w:sz w:val="20"/>
              </w:rPr>
              <w:t>+75,400</w:t>
            </w:r>
          </w:p>
        </w:tc>
        <w:tc>
          <w:tcPr>
            <w:tcW w:type="dxa" w:w="3024"/>
          </w:tcPr>
          <w:p>
            <w:pPr>
              <w:spacing w:after="40" w:before="40"/>
            </w:pPr>
            <w:r/>
            <w:r>
              <w:rPr>
                <w:rFonts w:ascii="Calibri" w:hAnsi="Calibri"/>
                <w:b w:val="0"/>
                <w:sz w:val="20"/>
              </w:rPr>
              <w:t>+1,118,400</w:t>
            </w:r>
          </w:p>
        </w:tc>
      </w:tr>
      <w:tr>
        <w:tc>
          <w:tcPr>
            <w:tcW w:type="dxa" w:w="3888"/>
            <w:shd w:val="clear" w:fill="F5F3FF"/>
          </w:tcPr>
          <w:p>
            <w:pPr>
              <w:spacing w:after="40" w:before="40"/>
            </w:pPr>
            <w:r/>
            <w:r>
              <w:rPr>
                <w:rFonts w:ascii="Calibri" w:hAnsi="Calibri"/>
                <w:b/>
                <w:sz w:val="20"/>
              </w:rPr>
              <w:t>Cumulative position</w:t>
            </w:r>
          </w:p>
        </w:tc>
        <w:tc>
          <w:tcPr>
            <w:tcW w:type="dxa" w:w="3024"/>
            <w:shd w:val="clear" w:fill="F5F3FF"/>
          </w:tcPr>
          <w:p>
            <w:pPr>
              <w:spacing w:after="40" w:before="40"/>
            </w:pPr>
            <w:r/>
            <w:r>
              <w:rPr>
                <w:rFonts w:ascii="Calibri" w:hAnsi="Calibri"/>
                <w:b w:val="0"/>
                <w:sz w:val="20"/>
              </w:rPr>
              <w:t>(380,000)</w:t>
            </w:r>
          </w:p>
        </w:tc>
        <w:tc>
          <w:tcPr>
            <w:tcW w:type="dxa" w:w="3024"/>
            <w:shd w:val="clear" w:fill="F5F3FF"/>
          </w:tcPr>
          <w:p>
            <w:pPr>
              <w:spacing w:after="40" w:before="40"/>
            </w:pPr>
            <w:r/>
            <w:r>
              <w:rPr>
                <w:rFonts w:ascii="Calibri" w:hAnsi="Calibri"/>
                <w:b w:val="0"/>
                <w:sz w:val="20"/>
              </w:rPr>
              <w:t>(304,600)</w:t>
            </w:r>
          </w:p>
        </w:tc>
        <w:tc>
          <w:tcPr>
            <w:tcW w:type="dxa" w:w="3024"/>
            <w:shd w:val="clear" w:fill="F5F3FF"/>
          </w:tcPr>
          <w:p>
            <w:pPr>
              <w:spacing w:after="40" w:before="40"/>
            </w:pPr>
            <w:r/>
            <w:r>
              <w:rPr>
                <w:rFonts w:ascii="Calibri" w:hAnsi="Calibri"/>
                <w:b w:val="0"/>
                <w:sz w:val="20"/>
              </w:rPr>
              <w:t>+813,800</w:t>
            </w:r>
          </w:p>
        </w:tc>
      </w:tr>
    </w:tbl>
    <w:p>
      <w:pPr>
        <w:spacing w:after="40"/>
      </w:pPr>
    </w:p>
    <w:p>
      <w:pPr>
        <w:spacing w:after="120"/>
      </w:pPr>
      <w:r>
        <w:rPr>
          <w:i/>
          <w:color w:val="132035"/>
          <w:sz w:val="20"/>
        </w:rPr>
        <w:t>Total revenue includes one-time implementation fees (about 27,000 / 80,000 / 151,000 AED across Years 1 to 3) and partner and wellness income (Engine 3) of 0 / 50,000 / 150,000 AED.</w:t>
      </w:r>
    </w:p>
    <w:p>
      <w:pPr>
        <w:spacing w:after="120"/>
      </w:pPr>
      <w:r>
        <w:rPr>
          <w:i w:val="0"/>
          <w:sz w:val="22"/>
        </w:rPr>
        <w:t>Read honestly: with proper licence pricing, we turn annual profit as early as Year 2 on a conservative base of just six clinics, and our cumulative position crosses into the black during Year 3. Year 1 is the build-and-pilot year, and it carries the only material loss. Two levers protect our cash along the way:</w:t>
      </w:r>
    </w:p>
    <w:p>
      <w:pPr>
        <w:pStyle w:val="ListBullet"/>
        <w:spacing w:after="60"/>
      </w:pPr>
      <w:r>
        <w:rPr>
          <w:b/>
        </w:rPr>
        <w:t xml:space="preserve">Upfront billing: </w:t>
      </w:r>
      <w:r>
        <w:t xml:space="preserve"> Annual fees are billed upfront, giving us cash today against revenue we recognise over the year, which reduces how much outside funding we need.</w:t>
      </w:r>
    </w:p>
    <w:p>
      <w:pPr>
        <w:pStyle w:val="ListBullet"/>
        <w:spacing w:after="60"/>
      </w:pPr>
      <w:r>
        <w:rPr>
          <w:b/>
        </w:rPr>
        <w:t xml:space="preserve">Lean build: </w:t>
      </w:r>
      <w:r>
        <w:t xml:space="preserve"> Core development is handled by skilled offshore resources, keeping our biggest cost line efficient.</w:t>
      </w:r>
    </w:p>
    <w:p>
      <w:pPr>
        <w:pStyle w:val="Heading2"/>
      </w:pPr>
      <w:r>
        <w:t>The Ask</w:t>
      </w:r>
    </w:p>
    <w:p>
      <w:pPr>
        <w:spacing w:after="120"/>
      </w:pPr>
      <w:r>
        <w:rPr>
          <w:i w:val="0"/>
          <w:sz w:val="22"/>
        </w:rPr>
        <w:t>We are raising about 500,000 AED (USD 136,000) to carry us through the build-and-pilot year to profitability, with a healthy buffer over the cumulative cash the model requires. Pricing the product the way the market actually licences clinical software keeps this need well below an earlier 650,000 AED estimate, so the founder gives up less equity. It funds the MVP build, the three Abu Dhabi pilots, and our first commercial (sales) hire in Year 2. Hub71's subsidised office space and housing reduce it further.</w:t>
      </w:r>
    </w:p>
    <w:tbl>
      <w:tblPr>
        <w:tblStyle w:val="TableGrid"/>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3000"/>
        <w:gridCol w:w="3000"/>
      </w:tblGrid>
      <w:tr>
        <w:tc>
          <w:tcPr>
            <w:shd w:val="clear" w:color="auto" w:fill="13233C"/>
          </w:tcPr>
          <w:p>
            <w:r>
              <w:rPr>
                <w:rFonts w:ascii="Inter" w:hAnsi="Inter"/>
                <w:sz w:val="20"/>
                <w:b/>
                <w:color w:val="FFFFFF"/>
              </w:rPr>
              <w:t xml:space="preserve">Category</w:t>
            </w:r>
          </w:p>
        </w:tc>
        <w:tc>
          <w:tcPr>
            <w:shd w:val="clear" w:color="auto" w:fill="13233C"/>
          </w:tcPr>
          <w:p>
            <w:r>
              <w:rPr>
                <w:rFonts w:ascii="Inter" w:hAnsi="Inter"/>
                <w:sz w:val="20"/>
                <w:b/>
                <w:color w:val="FFFFFF"/>
              </w:rPr>
              <w:t xml:space="preserve">Amount (AED)</w:t>
            </w:r>
          </w:p>
        </w:tc>
        <w:tc>
          <w:tcPr>
            <w:shd w:val="clear" w:color="auto" w:fill="13233C"/>
          </w:tcPr>
          <w:p>
            <w:r>
              <w:rPr>
                <w:rFonts w:ascii="Inter" w:hAnsi="Inter"/>
                <w:sz w:val="20"/>
                <w:b/>
                <w:color w:val="FFFFFF"/>
              </w:rPr>
              <w:t xml:space="preserve">What It Covers</w:t>
            </w:r>
          </w:p>
        </w:tc>
      </w:tr>
      <w:tr>
        <w:tc>
          <w:tcPr/>
          <w:p>
            <w:r>
              <w:rPr>
                <w:rFonts w:ascii="Inter" w:hAnsi="Inter"/>
                <w:sz w:val="20"/>
                <w:color w:val="132035"/>
              </w:rPr>
              <w:t xml:space="preserve">Product build (engineering &amp; design)</w:t>
            </w:r>
          </w:p>
        </w:tc>
        <w:tc>
          <w:tcPr/>
          <w:p>
            <w:r>
              <w:t>205,000</w:t>
            </w:r>
          </w:p>
        </w:tc>
        <w:tc>
          <w:tcPr/>
          <w:p>
            <w:r>
              <w:t>Two offshore developers and one UI/UX designer building and iterating the MVP, alongside the technical founder</w:t>
            </w:r>
          </w:p>
        </w:tc>
      </w:tr>
      <w:tr>
        <w:tc>
          <w:tcPr/>
          <w:p>
            <w:r>
              <w:rPr>
                <w:rFonts w:ascii="Inter" w:hAnsi="Inter"/>
                <w:sz w:val="20"/>
                <w:color w:val="132035"/>
              </w:rPr>
              <w:t xml:space="preserve">Founder Runway</w:t>
            </w:r>
          </w:p>
        </w:tc>
        <w:tc>
          <w:tcPr/>
          <w:p>
            <w:r>
              <w:t>100,000</w:t>
            </w:r>
          </w:p>
        </w:tc>
        <w:tc>
          <w:tcPr/>
          <w:p>
            <w:r>
              <w:rPr>
                <w:rFonts w:ascii="Inter" w:hAnsi="Inter"/>
                <w:sz w:val="20"/>
                <w:color w:val="132035"/>
              </w:rPr>
              <w:t xml:space="preserve">Founder salary across the build-and-pilot year; Hub71 housing support reduces this</w:t>
            </w:r>
          </w:p>
        </w:tc>
      </w:tr>
      <w:tr>
        <w:tc>
          <w:tcPr/>
          <w:p>
            <w:r>
              <w:rPr>
                <w:rFonts w:ascii="Inter" w:hAnsi="Inter"/>
                <w:sz w:val="20"/>
                <w:color w:val="132035"/>
              </w:rPr>
              <w:t xml:space="preserve">Cloud, messaging &amp; AI services</w:t>
            </w:r>
          </w:p>
        </w:tc>
        <w:tc>
          <w:tcPr/>
          <w:p>
            <w:r>
              <w:rPr>
                <w:rFonts w:ascii="Inter" w:hAnsi="Inter"/>
                <w:sz w:val="20"/>
                <w:color w:val="132035"/>
              </w:rPr>
              <w:t xml:space="preserve">35,000</w:t>
            </w:r>
          </w:p>
        </w:tc>
        <w:tc>
          <w:tcPr/>
          <w:p>
            <w:r>
              <w:rPr>
                <w:rFonts w:ascii="Inter" w:hAnsi="Inter"/>
                <w:sz w:val="20"/>
                <w:color w:val="132035"/>
              </w:rPr>
              <w:t xml:space="preserve">Hosting, SMS and WhatsApp, and the AI services behind guidance and triage</w:t>
            </w:r>
          </w:p>
        </w:tc>
      </w:tr>
      <w:tr>
        <w:tc>
          <w:tcPr/>
          <w:p>
            <w:r>
              <w:rPr>
                <w:rFonts w:ascii="Inter" w:hAnsi="Inter"/>
                <w:sz w:val="20"/>
                <w:color w:val="132035"/>
              </w:rPr>
              <w:t xml:space="preserve">Legal, licensing &amp; compliance</w:t>
            </w:r>
          </w:p>
        </w:tc>
        <w:tc>
          <w:tcPr/>
          <w:p>
            <w:r>
              <w:rPr>
                <w:rFonts w:ascii="Inter" w:hAnsi="Inter"/>
                <w:sz w:val="20"/>
                <w:color w:val="132035"/>
              </w:rPr>
              <w:t xml:space="preserve">45,000</w:t>
            </w:r>
          </w:p>
        </w:tc>
        <w:tc>
          <w:tcPr/>
          <w:p>
            <w:r>
              <w:rPr>
                <w:rFonts w:ascii="Inter" w:hAnsi="Inter"/>
                <w:sz w:val="20"/>
                <w:color w:val="132035"/>
              </w:rPr>
              <w:t xml:space="preserve">Company setup, DoH-aligned data approvals, and a security review</w:t>
            </w:r>
          </w:p>
        </w:tc>
      </w:tr>
      <w:tr>
        <w:tc>
          <w:tcPr/>
          <w:p>
            <w:r>
              <w:rPr>
                <w:rFonts w:ascii="Inter" w:hAnsi="Inter"/>
                <w:sz w:val="20"/>
                <w:color w:val="132035"/>
              </w:rPr>
              <w:t xml:space="preserve">Pilots &amp; go-to-market</w:t>
            </w:r>
          </w:p>
        </w:tc>
        <w:tc>
          <w:tcPr/>
          <w:p>
            <w:r>
              <w:rPr>
                <w:rFonts w:ascii="Inter" w:hAnsi="Inter"/>
                <w:sz w:val="20"/>
                <w:color w:val="132035"/>
              </w:rPr>
              <w:t xml:space="preserve">40,000</w:t>
            </w:r>
          </w:p>
        </w:tc>
        <w:tc>
          <w:tcPr/>
          <w:p>
            <w:r>
              <w:rPr>
                <w:rFonts w:ascii="Inter" w:hAnsi="Inter"/>
                <w:sz w:val="20"/>
                <w:color w:val="132035"/>
              </w:rPr>
              <w:t xml:space="preserve">Clinic onboarding, training, travel, and early brand presence</w:t>
            </w:r>
          </w:p>
        </w:tc>
      </w:tr>
      <w:tr>
        <w:tc>
          <w:tcPr/>
          <w:p>
            <w:r>
              <w:rPr>
                <w:rFonts w:ascii="Inter" w:hAnsi="Inter"/>
                <w:sz w:val="20"/>
                <w:color w:val="132035"/>
              </w:rPr>
              <w:t xml:space="preserve">Contingency &amp; Year 2 bridge</w:t>
            </w:r>
          </w:p>
        </w:tc>
        <w:tc>
          <w:tcPr/>
          <w:p>
            <w:r>
              <w:rPr>
                <w:rFonts w:ascii="Inter" w:hAnsi="Inter"/>
                <w:sz w:val="20"/>
                <w:color w:val="132035"/>
              </w:rPr>
              <w:t xml:space="preserve">75,000</w:t>
            </w:r>
          </w:p>
        </w:tc>
        <w:tc>
          <w:tcPr/>
          <w:p>
            <w:r>
              <w:rPr>
                <w:rFonts w:ascii="Inter" w:hAnsi="Inter"/>
                <w:sz w:val="20"/>
                <w:color w:val="132035"/>
              </w:rPr>
              <w:t xml:space="preserve">Around 15% buffer for slippage, plus runway until the first annual fees are collected</w:t>
            </w:r>
          </w:p>
        </w:tc>
      </w:tr>
      <w:tr>
        <w:tc>
          <w:tcPr/>
          <w:p>
            <w:r>
              <w:rPr>
                <w:rFonts w:ascii="Inter" w:hAnsi="Inter"/>
                <w:sz w:val="20"/>
                <w:color w:val="132035"/>
              </w:rPr>
              <w:t xml:space="preserve">Total</w:t>
            </w:r>
          </w:p>
        </w:tc>
        <w:tc>
          <w:tcPr/>
          <w:p>
            <w:r>
              <w:rPr>
                <w:rFonts w:ascii="Inter" w:hAnsi="Inter"/>
                <w:sz w:val="20"/>
                <w:color w:val="132035"/>
              </w:rPr>
              <w:t xml:space="preserve">500,000</w:t>
            </w:r>
          </w:p>
        </w:tc>
        <w:tc>
          <w:tcPr/>
          <w:p>
            <w:r>
              <w:rPr>
                <w:rFonts w:ascii="Inter" w:hAnsi="Inter"/>
                <w:sz w:val="20"/>
                <w:color w:val="132035"/>
              </w:rPr>
              <w:t xml:space="preserve">Funds the MVP, the three Abu Dhabi pilots, and the bridge to first paid revenue</w:t>
            </w:r>
          </w:p>
        </w:tc>
      </w:tr>
    </w:tbl>
    <w:p>
      <w:pPr>
        <w:spacing w:after="120" w:line="276" w:lineRule="auto"/>
      </w:pPr>
      <w:r>
        <w:rPr>
          <w:i/>
          <w:rFonts w:ascii="Manrope" w:hAnsi="Manrope"/>
          <w:color w:val="4A5568"/>
          <w:sz w:val="18"/>
        </w:rPr>
        <w:t xml:space="preserve">This maps to our financial model: Year 1 operating costs of about 512,000 AED, less first-year revenue, leave a net cash need near 380,000 AED. The balance is contingency and a short bridge into Year 2, when annual licences are billed upfront.</w:t>
      </w:r>
    </w:p>
    <w:p>
      <w:pPr>
        <w:spacing w:after="120" w:line="276" w:lineRule="auto"/>
      </w:pPr>
      <w:r>
        <w:rPr>
          <w:rFonts w:ascii="Manrope" w:hAnsi="Manrope"/>
          <w:color w:val="132035"/>
        </w:rPr>
        <w:t xml:space="preserve"/>
      </w:r>
    </w:p>
    <w:p>
      <w:pPr>
        <w:spacing w:after="120" w:line="276" w:lineRule="auto"/>
      </w:pPr>
      <w:r>
        <w:rPr>
          <w:rFonts w:ascii="Manrope" w:hAnsi="Manrope"/>
          <w:color w:val="132035"/>
        </w:rPr>
        <w:t xml:space="preserve"/>
      </w:r>
    </w:p>
    <w:p>
      <w:pPr>
        <w:pStyle w:val="Heading1"/>
        <w:spacing w:before="360" w:after="160"/>
      </w:pPr>
      <w:r>
        <w:rPr>
          <w:b/>
          <w:color w:val="13233C"/>
          <w:rFonts w:ascii="DM Sans" w:hAnsi="DM Sans"/>
        </w:rPr>
        <w:t>11. Key Risks and How We Address Them</w:t>
      </w:r>
    </w:p>
    <w:p>
      <w:pPr>
        <w:spacing w:after="120" w:line="276" w:lineRule="auto"/>
      </w:pPr>
      <w:r>
        <w:rPr>
          <w:rFonts w:ascii="Manrope" w:hAnsi="Manrope"/>
          <w:color w:val="132035"/>
        </w:rPr>
        <w:t xml:space="preserve">Every early-stage company carries risk. We name ours clearly and show how we manage them.</w:t>
      </w:r>
    </w:p>
    <w:p>
      <w:pPr>
        <w:pStyle w:val="ListBullet"/>
        <w:spacing w:after="80" w:line="276" w:lineRule="auto"/>
      </w:pPr>
      <w:r>
        <w:rPr>
          <w:b/>
          <w:rFonts w:ascii="Manrope" w:hAnsi="Manrope"/>
          <w:color w:val="132035"/>
        </w:rPr>
        <w:t xml:space="preserve">Risk 1: Pilot clinics don't convert to paid.  </w:t>
      </w:r>
      <w:r>
        <w:rPr>
          <w:rFonts w:ascii="Manrope" w:hAnsi="Manrope"/>
          <w:color w:val="132035"/>
        </w:rPr>
        <w:t xml:space="preserve">A clinic enjoys the free pilot but stalls on signing. </w:t>
      </w:r>
      <w:r>
        <w:rPr>
          <w:b/>
          <w:i/>
          <w:rFonts w:ascii="Manrope" w:hAnsi="Manrope"/>
          <w:color w:val="9E8CEF"/>
        </w:rPr>
        <w:t xml:space="preserve">Our response: a fixed six-month pilot, with ROI data at month four and the contract at month five. If a clinic chooses not to continue, the pilot winds down cleanly at month six, as agreed up front.</w:t>
      </w:r>
    </w:p>
    <w:p>
      <w:pPr>
        <w:pStyle w:val="ListBullet"/>
        <w:spacing w:after="80" w:line="276" w:lineRule="auto"/>
      </w:pPr>
      <w:r>
        <w:rPr>
          <w:b/>
          <w:rFonts w:ascii="Manrope" w:hAnsi="Manrope"/>
          <w:color w:val="132035"/>
        </w:rPr>
        <w:t xml:space="preserve">Risk 2: Nurses resist adoption.  </w:t>
      </w:r>
      <w:r>
        <w:rPr>
          <w:rFonts w:ascii="Manrope" w:hAnsi="Manrope"/>
          <w:color w:val="132035"/>
        </w:rPr>
        <w:t xml:space="preserve">Coordinators see the platform as extra work and stop registering patients. </w:t>
      </w:r>
      <w:r>
        <w:rPr>
          <w:b/>
          <w:i/>
          <w:rFonts w:ascii="Manrope" w:hAnsi="Manrope"/>
          <w:color w:val="9E8CEF"/>
        </w:rPr>
        <w:t xml:space="preserve">Our response: 90-second onboarding that replaces more than 15 hours a week of manual WhatsApp chasing, so adoption is driven by workload relief, not mandate.</w:t>
      </w:r>
    </w:p>
    <w:p>
      <w:pPr>
        <w:pStyle w:val="ListBullet"/>
        <w:spacing w:after="80" w:line="276" w:lineRule="auto"/>
      </w:pPr>
      <w:r>
        <w:rPr>
          <w:b/>
          <w:rFonts w:ascii="Manrope" w:hAnsi="Manrope"/>
          <w:color w:val="132035"/>
        </w:rPr>
        <w:t xml:space="preserve">Risk 3: Longer-than-expected sales cycles.  </w:t>
      </w:r>
      <w:r>
        <w:rPr>
          <w:rFonts w:ascii="Manrope" w:hAnsi="Manrope"/>
          <w:color w:val="132035"/>
        </w:rPr>
        <w:t xml:space="preserve">Hospital procurement delays deal closure beyond our cash runway. </w:t>
      </w:r>
      <w:r>
        <w:rPr>
          <w:b/>
          <w:i/>
          <w:rFonts w:ascii="Manrope" w:hAnsi="Manrope"/>
          <w:color w:val="9E8CEF"/>
        </w:rPr>
        <w:t xml:space="preserve">Our response: the Growth tier at 99,000 AED sits under the board sign-off threshold, so a medical director or GM can approve it directly, cutting two to three months from the cycle.</w:t>
      </w:r>
    </w:p>
    <w:p>
      <w:pPr>
        <w:pStyle w:val="ListBullet"/>
        <w:spacing w:after="80" w:line="276" w:lineRule="auto"/>
      </w:pPr>
      <w:r>
        <w:rPr>
          <w:b/>
          <w:rFonts w:ascii="Manrope" w:hAnsi="Manrope"/>
          <w:color w:val="132035"/>
        </w:rPr>
        <w:t xml:space="preserve">Risk 4: Regulatory approval takes longer than planned.  </w:t>
      </w:r>
      <w:r>
        <w:rPr>
          <w:rFonts w:ascii="Manrope" w:hAnsi="Manrope"/>
          <w:color w:val="132035"/>
        </w:rPr>
        <w:t xml:space="preserve">Health-data and licensing approvals in the UAE can be slow. </w:t>
      </w:r>
      <w:r>
        <w:rPr>
          <w:b/>
          <w:i/>
          <w:rFonts w:ascii="Manrope" w:hAnsi="Manrope"/>
          <w:color w:val="9E8CEF"/>
        </w:rPr>
        <w:t xml:space="preserve">Our response: we engage the DoH early, design to Malaffi and PDPL from day one, and keep Ovify on the non-diagnostic side of the medical-device line, so compliance is built in rather than retrofitted.</w:t>
      </w:r>
    </w:p>
    <w:p>
      <w:pPr>
        <w:spacing w:after="120" w:line="276" w:lineRule="auto"/>
      </w:pPr>
      <w:r>
        <w:rPr>
          <w:rFonts w:ascii="Manrope" w:hAnsi="Manrope"/>
          <w:color w:val="132035"/>
        </w:rPr>
        <w:t xml:space="preserve"/>
      </w:r>
    </w:p>
    <w:p>
      <w:pPr>
        <w:pStyle w:val="Heading1"/>
      </w:pPr>
      <w:r>
        <w:t>12. The Team</w:t>
      </w:r>
    </w:p>
    <w:p>
      <w:pPr>
        <w:spacing w:after="120"/>
      </w:pPr>
      <w:r>
        <w:rPr>
          <w:i w:val="0"/>
          <w:sz w:val="22"/>
        </w:rPr>
        <w:t>We are deliberately small. The founder is hands-on technical, so a lean core team can build and launch the product, and we add commercial and clinical weight exactly when each is needed.</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3233C"/>
          </w:tcPr>
          <w:p>
            <w:pPr>
              <w:spacing w:after="40" w:before="40"/>
            </w:pPr>
            <w:r/>
            <w:r>
              <w:rPr>
                <w:rFonts w:ascii="Calibri" w:hAnsi="Calibri"/>
                <w:b/>
                <w:color w:val="FFFFFF"/>
                <w:sz w:val="21"/>
              </w:rPr>
              <w:t>Role</w:t>
            </w:r>
          </w:p>
        </w:tc>
        <w:tc>
          <w:tcPr>
            <w:tcW w:type="dxa" w:w="2160"/>
            <w:shd w:val="clear" w:fill="13233C"/>
          </w:tcPr>
          <w:p>
            <w:pPr>
              <w:spacing w:after="40" w:before="40"/>
            </w:pPr>
            <w:r/>
            <w:r>
              <w:rPr>
                <w:rFonts w:ascii="Calibri" w:hAnsi="Calibri"/>
                <w:b/>
                <w:color w:val="FFFFFF"/>
                <w:sz w:val="21"/>
              </w:rPr>
              <w:t>Status</w:t>
            </w:r>
          </w:p>
        </w:tc>
        <w:tc>
          <w:tcPr>
            <w:tcW w:type="dxa" w:w="7056"/>
            <w:shd w:val="clear" w:fill="13233C"/>
          </w:tcPr>
          <w:p>
            <w:pPr>
              <w:spacing w:after="40" w:before="40"/>
            </w:pPr>
            <w:r/>
            <w:r>
              <w:rPr>
                <w:rFonts w:ascii="Calibri" w:hAnsi="Calibri"/>
                <w:b/>
                <w:color w:val="FFFFFF"/>
                <w:sz w:val="21"/>
              </w:rPr>
              <w:t>What they own</w:t>
            </w:r>
          </w:p>
        </w:tc>
      </w:tr>
      <w:tr>
        <w:tc>
          <w:tcPr>
            <w:tcW w:type="dxa" w:w="3744"/>
          </w:tcPr>
          <w:p>
            <w:pPr>
              <w:spacing w:after="40" w:before="40"/>
            </w:pPr>
            <w:r/>
            <w:r>
              <w:rPr>
                <w:rFonts w:ascii="Calibri" w:hAnsi="Calibri"/>
                <w:b/>
                <w:sz w:val="20"/>
              </w:rPr>
              <w:t>Founder, Architect &amp; Tech Lead</w:t>
            </w:r>
          </w:p>
        </w:tc>
        <w:tc>
          <w:tcPr>
            <w:tcW w:type="dxa" w:w="2160"/>
          </w:tcPr>
          <w:p>
            <w:pPr>
              <w:spacing w:after="40" w:before="40"/>
            </w:pPr>
            <w:r/>
            <w:r>
              <w:rPr>
                <w:rFonts w:ascii="Calibri" w:hAnsi="Calibri"/>
                <w:b w:val="0"/>
                <w:sz w:val="20"/>
              </w:rPr>
              <w:t>In place</w:t>
            </w:r>
          </w:p>
        </w:tc>
        <w:tc>
          <w:tcPr>
            <w:tcW w:type="dxa" w:w="7056"/>
          </w:tcPr>
          <w:p>
            <w:pPr>
              <w:spacing w:after="40" w:before="40"/>
            </w:pPr>
            <w:r/>
            <w:r>
              <w:rPr>
                <w:rFonts w:ascii="Calibri" w:hAnsi="Calibri"/>
                <w:b w:val="0"/>
                <w:sz w:val="20"/>
              </w:rPr>
              <w:t>Samaneh Khaleghi. Product vision, system architecture, and technical direction, plus hands-on building of the MVP.</w:t>
            </w:r>
          </w:p>
        </w:tc>
      </w:tr>
      <w:tr>
        <w:tc>
          <w:tcPr>
            <w:tcW w:type="dxa" w:w="3744"/>
            <w:shd w:val="clear" w:fill="F5F3FF"/>
          </w:tcPr>
          <w:p>
            <w:pPr>
              <w:spacing w:after="40" w:before="40"/>
            </w:pPr>
            <w:r/>
            <w:r>
              <w:rPr>
                <w:rFonts w:ascii="Calibri" w:hAnsi="Calibri"/>
                <w:b/>
                <w:sz w:val="20"/>
              </w:rPr>
              <w:t>UI / UX Designer</w:t>
            </w:r>
          </w:p>
        </w:tc>
        <w:tc>
          <w:tcPr>
            <w:tcW w:type="dxa" w:w="2160"/>
            <w:shd w:val="clear" w:fill="F5F3FF"/>
          </w:tcPr>
          <w:p>
            <w:pPr>
              <w:spacing w:after="40" w:before="40"/>
            </w:pPr>
            <w:r/>
            <w:r>
              <w:rPr>
                <w:rFonts w:ascii="Calibri" w:hAnsi="Calibri"/>
                <w:b w:val="0"/>
                <w:sz w:val="20"/>
              </w:rPr>
              <w:t>Early hire</w:t>
            </w:r>
          </w:p>
        </w:tc>
        <w:tc>
          <w:tcPr>
            <w:tcW w:type="dxa" w:w="7056"/>
            <w:shd w:val="clear" w:fill="F5F3FF"/>
          </w:tcPr>
          <w:p>
            <w:pPr>
              <w:spacing w:after="40" w:before="40"/>
            </w:pPr>
            <w:r/>
            <w:r>
              <w:rPr>
                <w:rFonts w:ascii="Calibri" w:hAnsi="Calibri"/>
                <w:b w:val="0"/>
                <w:sz w:val="20"/>
              </w:rPr>
              <w:t>The patient app and nurse dashboard experience: calm and simple for an anxious patient, fast for a busy nurse. Offshore resource.</w:t>
            </w:r>
          </w:p>
        </w:tc>
      </w:tr>
      <w:tr>
        <w:tc>
          <w:tcPr>
            <w:tcW w:type="dxa" w:w="3744"/>
          </w:tcPr>
          <w:p>
            <w:r>
              <w:t>2x Senior Developers (Full-Stack &amp; Mobile)</w:t>
            </w:r>
          </w:p>
        </w:tc>
        <w:tc>
          <w:tcPr>
            <w:tcW w:type="dxa" w:w="2160"/>
          </w:tcPr>
          <w:p>
            <w:pPr>
              <w:spacing w:after="40" w:before="40"/>
            </w:pPr>
            <w:r/>
            <w:r>
              <w:rPr>
                <w:rFonts w:ascii="Calibri" w:hAnsi="Calibri"/>
                <w:b w:val="0"/>
                <w:sz w:val="20"/>
              </w:rPr>
              <w:t>Early hire</w:t>
            </w:r>
          </w:p>
        </w:tc>
        <w:tc>
          <w:tcPr>
            <w:tcW w:type="dxa" w:w="7056"/>
          </w:tcPr>
          <w:p>
            <w:r>
              <w:t>Offshore resources. Build platform backend, database APIs, reminder/alert engine, and PWA companion apps alongside the founder.</w:t>
            </w:r>
          </w:p>
        </w:tc>
      </w:tr>
      <w:tr>
        <w:tc>
          <w:tcPr>
            <w:tcW w:type="dxa" w:w="3744"/>
            <w:shd w:val="clear" w:fill="F5F3FF"/>
          </w:tcPr>
          <w:p>
            <w:pPr>
              <w:spacing w:after="40" w:before="40"/>
            </w:pPr>
            <w:r/>
            <w:r>
              <w:rPr>
                <w:rFonts w:ascii="Calibri" w:hAnsi="Calibri"/>
                <w:b/>
                <w:sz w:val="20"/>
              </w:rPr>
              <w:t>Sales / Business Development</w:t>
            </w:r>
          </w:p>
        </w:tc>
        <w:tc>
          <w:tcPr>
            <w:tcW w:type="dxa" w:w="2160"/>
            <w:shd w:val="clear" w:fill="F5F3FF"/>
          </w:tcPr>
          <w:p>
            <w:pPr>
              <w:spacing w:after="40" w:before="40"/>
            </w:pPr>
            <w:r/>
            <w:r>
              <w:rPr>
                <w:rFonts w:ascii="Calibri" w:hAnsi="Calibri"/>
                <w:b w:val="0"/>
                <w:sz w:val="20"/>
              </w:rPr>
              <w:t>Year 2 hire</w:t>
            </w:r>
          </w:p>
        </w:tc>
        <w:tc>
          <w:tcPr>
            <w:tcW w:type="dxa" w:w="7056"/>
            <w:shd w:val="clear" w:fill="F5F3FF"/>
          </w:tcPr>
          <w:p>
            <w:pPr>
              <w:spacing w:after="40" w:before="40"/>
            </w:pPr>
            <w:r/>
            <w:r>
              <w:rPr>
                <w:rFonts w:ascii="Calibri" w:hAnsi="Calibri"/>
                <w:b w:val="0"/>
                <w:sz w:val="20"/>
              </w:rPr>
              <w:t>Pilot-to-paid conversion and GCC expansion. The commercial counterpart to a technical founder.</w:t>
            </w:r>
          </w:p>
        </w:tc>
      </w:tr>
      <w:tr>
        <w:tc>
          <w:tcPr>
            <w:tcW w:type="dxa" w:w="3744"/>
          </w:tcPr>
          <w:p>
            <w:pPr>
              <w:spacing w:after="40" w:before="40"/>
            </w:pPr>
            <w:r/>
            <w:r>
              <w:rPr>
                <w:rFonts w:ascii="Calibri" w:hAnsi="Calibri"/>
                <w:b/>
                <w:sz w:val="20"/>
              </w:rPr>
              <w:t>Medical Advisor (Fertility Doctor)</w:t>
            </w:r>
          </w:p>
        </w:tc>
        <w:tc>
          <w:tcPr>
            <w:tcW w:type="dxa" w:w="2160"/>
          </w:tcPr>
          <w:p>
            <w:pPr>
              <w:spacing w:after="40" w:before="40"/>
            </w:pPr>
            <w:r/>
            <w:r>
              <w:rPr>
                <w:rFonts w:ascii="Calibri" w:hAnsi="Calibri"/>
                <w:b w:val="0"/>
                <w:sz w:val="20"/>
              </w:rPr>
              <w:t>Informal advisor</w:t>
            </w:r>
          </w:p>
        </w:tc>
        <w:tc>
          <w:tcPr>
            <w:tcW w:type="dxa" w:w="7056"/>
          </w:tcPr>
          <w:p>
            <w:pPr>
              <w:spacing w:after="40" w:before="40"/>
            </w:pPr>
            <w:r/>
            <w:r>
              <w:rPr>
                <w:rFonts w:ascii="Calibri" w:hAnsi="Calibri"/>
                <w:b w:val="0"/>
                <w:sz w:val="20"/>
              </w:rPr>
              <w:t>Clinical credibility, protocol accuracy, and warm introductions to IVF clinics and DoH contacts.</w:t>
            </w:r>
          </w:p>
        </w:tc>
      </w:tr>
    </w:tbl>
    <w:p>
      <w:pPr>
        <w:spacing w:after="40"/>
      </w:pPr>
    </w:p>
    <w:p>
      <w:pPr>
        <w:spacing w:after="120"/>
      </w:pPr>
      <w:r>
        <w:rPr>
          <w:i w:val="0"/>
          <w:sz w:val="22"/>
        </w:rPr>
        <w:t>This keeps payroll lean through the build-and-pilot year (the founder plus two remote builders), brings in sales only once there is something proven to sell, and gives us clinical guidance from day one through an advising fertility doctor, without the cost of a full-time medical hire. Hub71's network is exactly where we expect to find the Year 2 sales hire and additional clinical advisors.</w:t>
      </w:r>
    </w:p>
    <w:p>
      <w:pPr>
        <w:pStyle w:val="Heading1"/>
      </w:pPr>
      <w:r>
        <w:t>13. Why Hub71 and Abu Dhabi</w:t>
      </w:r>
    </w:p>
    <w:p>
      <w:pPr>
        <w:pStyle w:val="ListBullet"/>
        <w:spacing w:after="60"/>
      </w:pPr>
      <w:r>
        <w:rPr>
          <w:b/>
        </w:rPr>
        <w:t xml:space="preserve">Pilot access: </w:t>
      </w:r>
      <w:r>
        <w:t xml:space="preserve"> Hub71's partnerships with Abu Dhabi healthcare groups give us direct, credible access to pilot clinics, the hardest door for a young health-tech company to open.</w:t>
      </w:r>
    </w:p>
    <w:p>
      <w:pPr>
        <w:pStyle w:val="ListBullet"/>
        <w:spacing w:after="60"/>
      </w:pPr>
      <w:r>
        <w:rPr>
          <w:b/>
        </w:rPr>
        <w:t xml:space="preserve">Strategic fit: </w:t>
      </w:r>
      <w:r>
        <w:t xml:space="preserve"> We want to build the regional standard for digital IVF adherence in partnership with the DoH's vision for medical excellence and tourism.</w:t>
      </w:r>
    </w:p>
    <w:p>
      <w:pPr>
        <w:pStyle w:val="ListBullet"/>
        <w:spacing w:after="60"/>
      </w:pPr>
      <w:r>
        <w:rPr>
          <w:b/>
        </w:rPr>
        <w:t xml:space="preserve">Capital efficiency: </w:t>
      </w:r>
      <w:r>
        <w:t xml:space="preserve"> Subsidised office space and housing cover key Year 1 and 2 overheads, stretching our runway and pulling profitability forward.</w:t>
      </w:r>
    </w:p>
    <w:p>
      <w:pPr>
        <w:spacing w:after="120"/>
      </w:pPr>
      <w:r>
        <w:rPr>
          <w:i w:val="0"/>
          <w:sz w:val="22"/>
        </w:rPr>
        <w:t>Set up at Hub71, Ovify can turn a real, unsolved clinical problem into a profitable company, and help make the UAE the global benchmark for how IVF patients are supported through the hardest weeks of their treatment.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9E8CEF"/>
      </w:pBdr>
    </w:pPr>
    <w:r>
      <w:rPr>
        <w:rFonts w:ascii="Inter" w:hAnsi="Inter"/>
        <w:color w:val="4A5568"/>
        <w:sz w:val="16"/>
      </w:rPr>
      <w:t xml:space="preserve">Ovify  ·  Hub71 Business Plan  ·  Page </w:t>
    </w:r>
    <w:r>
      <w:rPr>
        <w:rFonts w:ascii="Inter" w:hAnsi="Inter"/>
        <w:color w:val="4A55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9E8CEF"/>
      </w:pBdr>
      <w:spacing w:after="200"/>
    </w:pPr>
    <w:r>
      <w:drawing>
        <wp:inline xmlns:a="http://schemas.openxmlformats.org/drawingml/2006/main" xmlns:pic="http://schemas.openxmlformats.org/drawingml/2006/picture">
          <wp:extent cx="502920" cy="342265"/>
          <wp:docPr id="1" name="Picture 1"/>
          <wp:cNvGraphicFramePr>
            <a:graphicFrameLocks noChangeAspect="1"/>
          </wp:cNvGraphicFramePr>
          <a:graphic>
            <a:graphicData uri="http://schemas.openxmlformats.org/drawingml/2006/picture">
              <pic:pic>
                <pic:nvPicPr>
                  <pic:cNvPr id="0" name="Logo-OvaSync.jpg"/>
                  <pic:cNvPicPr/>
                </pic:nvPicPr>
                <pic:blipFill>
                  <a:blip r:embed="rId1"/>
                  <a:stretch>
                    <a:fillRect/>
                  </a:stretch>
                </pic:blipFill>
                <pic:spPr>
                  <a:xfrm>
                    <a:off x="0" y="0"/>
                    <a:ext cx="502920" cy="342265"/>
                  </a:xfrm>
                  <a:prstGeom prst="rect"/>
                </pic:spPr>
              </pic:pic>
            </a:graphicData>
          </a:graphic>
        </wp:inline>
      </w:drawing>
    </w:r>
    <w:r>
      <w:rPr>
        <w:rFonts w:ascii="DM Sans" w:hAnsi="DM Sans"/>
        <w:b/>
        <w:color w:val="13233C"/>
        <w:sz w:val="22"/>
      </w:rPr>
      <w:t xml:space="preserve">  OVIFY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6E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F6E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