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8784"/>
      </w:tblGrid>
      <w:tr w:rsidR="00774BAF" w14:paraId="1364E040" w14:textId="77777777">
        <w:tc>
          <w:tcPr>
            <w:tcW w:w="8784" w:type="dxa"/>
            <w:shd w:val="clear" w:color="auto" w:fill="1F4E79"/>
          </w:tcPr>
          <w:p w14:paraId="66F9ACBE" w14:textId="0DDAB34F" w:rsidR="00774BAF" w:rsidRDefault="00000000" w:rsidP="00031898">
            <w:pPr>
              <w:spacing w:before="200" w:after="80"/>
              <w:jc w:val="center"/>
            </w:pPr>
            <w:r>
              <w:rPr>
                <w:b/>
                <w:color w:val="FFFFFF"/>
                <w:sz w:val="40"/>
              </w:rPr>
              <w:t>Automated Pentest Checklist Generator</w:t>
            </w:r>
          </w:p>
        </w:tc>
      </w:tr>
    </w:tbl>
    <w:p w14:paraId="1FFBA7F5" w14:textId="77777777" w:rsidR="00774BAF" w:rsidRDefault="00774BAF">
      <w:pPr>
        <w:spacing w:after="120"/>
      </w:pPr>
    </w:p>
    <w:p w14:paraId="14671808" w14:textId="77777777" w:rsidR="00774BAF" w:rsidRDefault="00000000">
      <w:pPr>
        <w:spacing w:after="80"/>
      </w:pPr>
      <w:r>
        <w:rPr>
          <w:b/>
          <w:color w:val="1F4E79"/>
          <w:sz w:val="28"/>
        </w:rPr>
        <w:t>1.  Problem Statement</w:t>
      </w:r>
    </w:p>
    <w:p w14:paraId="52119CF5" w14:textId="77777777" w:rsidR="00774BAF" w:rsidRDefault="00000000">
      <w:pPr>
        <w:spacing w:after="120"/>
      </w:pPr>
      <w:r>
        <w:t>Currently, the pentest checklist (TO.01 – TO.99) is filled manually after every engagement. Each tester writes observations, maps findings to controls, and populates Status, Results, and Comments columns by hand. This process is time-consuming, inconsistent across testers, and prone to missed entries.</w:t>
      </w:r>
    </w:p>
    <w:p w14:paraId="08BF49BC" w14:textId="77777777" w:rsidR="00774BAF" w:rsidRDefault="00000000">
      <w:pPr>
        <w:spacing w:after="80"/>
      </w:pPr>
      <w:r>
        <w:rPr>
          <w:b/>
        </w:rPr>
        <w:t>Key pain points:</w:t>
      </w:r>
    </w:p>
    <w:p w14:paraId="2D7C65E6" w14:textId="77777777" w:rsidR="00774BAF" w:rsidRDefault="00000000">
      <w:pPr>
        <w:pStyle w:val="ListBullet"/>
        <w:spacing w:after="80"/>
        <w:ind w:left="432"/>
      </w:pPr>
      <w:r>
        <w:t>Manual effort: 1–2 hours per engagement spent on checklist population</w:t>
      </w:r>
    </w:p>
    <w:p w14:paraId="185DEFAA" w14:textId="77777777" w:rsidR="00774BAF" w:rsidRDefault="00000000">
      <w:pPr>
        <w:pStyle w:val="ListBullet"/>
        <w:spacing w:after="80"/>
        <w:ind w:left="432"/>
      </w:pPr>
      <w:r>
        <w:t>Inconsistency: Different testers write observations in different styles and detail levels</w:t>
      </w:r>
    </w:p>
    <w:p w14:paraId="66C00EB1" w14:textId="77777777" w:rsidR="00774BAF" w:rsidRDefault="00000000">
      <w:pPr>
        <w:pStyle w:val="ListBullet"/>
        <w:spacing w:after="80"/>
        <w:ind w:left="432"/>
      </w:pPr>
      <w:r>
        <w:t>Missed coverage: No automated check to ensure all baseline TOs are tested</w:t>
      </w:r>
    </w:p>
    <w:p w14:paraId="71009682" w14:textId="77777777" w:rsidR="00774BAF" w:rsidRDefault="00000000">
      <w:pPr>
        <w:pStyle w:val="ListBullet"/>
        <w:spacing w:after="80"/>
        <w:ind w:left="432"/>
      </w:pPr>
      <w:r>
        <w:t>No standardisation: Reason codes (Not Applicable / Not Covered) filled inconsistently</w:t>
      </w:r>
    </w:p>
    <w:p w14:paraId="3E9ADCE2" w14:textId="77777777" w:rsidR="00774BAF" w:rsidRDefault="00774BAF">
      <w:pPr>
        <w:spacing w:after="40"/>
      </w:pPr>
    </w:p>
    <w:p w14:paraId="5618940E" w14:textId="77777777" w:rsidR="00774BAF" w:rsidRDefault="00000000">
      <w:pPr>
        <w:spacing w:after="80"/>
      </w:pPr>
      <w:r>
        <w:rPr>
          <w:b/>
          <w:color w:val="1F4E79"/>
          <w:sz w:val="28"/>
        </w:rPr>
        <w:t>2.  Proposed Solution</w:t>
      </w:r>
    </w:p>
    <w:p w14:paraId="07F4C1A5" w14:textId="77777777" w:rsidR="00774BAF" w:rsidRDefault="00000000">
      <w:pPr>
        <w:spacing w:after="160"/>
      </w:pPr>
      <w:r>
        <w:t>We propose building an automated checklist generation tool that integrates with Burp Suite Pro (already used by the team) and uses AI to generate professional, standardised checklist entries with zero manual effort.</w:t>
      </w:r>
    </w:p>
    <w:p w14:paraId="53B58146" w14:textId="77777777" w:rsidR="00774BAF" w:rsidRDefault="00000000">
      <w:pPr>
        <w:spacing w:after="80"/>
      </w:pPr>
      <w:r>
        <w:rPr>
          <w:b/>
          <w:color w:val="1F4E79"/>
        </w:rPr>
        <w:t>How it works:</w:t>
      </w:r>
    </w:p>
    <w:tbl>
      <w:tblPr>
        <w:tblStyle w:val="TableGrid"/>
        <w:tblW w:w="0" w:type="auto"/>
        <w:tblLook w:val="04A0" w:firstRow="1" w:lastRow="0" w:firstColumn="1" w:lastColumn="0" w:noHBand="0" w:noVBand="1"/>
      </w:tblPr>
      <w:tblGrid>
        <w:gridCol w:w="4392"/>
        <w:gridCol w:w="4392"/>
      </w:tblGrid>
      <w:tr w:rsidR="00774BAF" w14:paraId="54AF4F07" w14:textId="77777777">
        <w:tc>
          <w:tcPr>
            <w:tcW w:w="4392" w:type="dxa"/>
            <w:shd w:val="clear" w:color="auto" w:fill="1F4E79"/>
          </w:tcPr>
          <w:p w14:paraId="752D4C51" w14:textId="77777777" w:rsidR="00774BAF" w:rsidRDefault="00000000">
            <w:pPr>
              <w:jc w:val="center"/>
            </w:pPr>
            <w:r>
              <w:rPr>
                <w:b/>
                <w:color w:val="FFFFFF"/>
              </w:rPr>
              <w:t>Step 1</w:t>
            </w:r>
          </w:p>
        </w:tc>
        <w:tc>
          <w:tcPr>
            <w:tcW w:w="4392" w:type="dxa"/>
            <w:shd w:val="clear" w:color="auto" w:fill="EBF3FB"/>
          </w:tcPr>
          <w:p w14:paraId="65D5C339" w14:textId="77777777" w:rsidR="00774BAF" w:rsidRDefault="00000000">
            <w:r>
              <w:rPr>
                <w:color w:val="1F4E79"/>
              </w:rPr>
              <w:t>Tester performs testing in Burp Suite — names Repeater tabs with finding details (e.g. 'SQL Injection in login endpoint')</w:t>
            </w:r>
          </w:p>
        </w:tc>
      </w:tr>
    </w:tbl>
    <w:p w14:paraId="647799E8" w14:textId="77777777" w:rsidR="00774BAF" w:rsidRDefault="00774BAF">
      <w:pPr>
        <w:spacing w:after="80"/>
      </w:pPr>
    </w:p>
    <w:tbl>
      <w:tblPr>
        <w:tblStyle w:val="TableGrid"/>
        <w:tblW w:w="0" w:type="auto"/>
        <w:tblLook w:val="04A0" w:firstRow="1" w:lastRow="0" w:firstColumn="1" w:lastColumn="0" w:noHBand="0" w:noVBand="1"/>
      </w:tblPr>
      <w:tblGrid>
        <w:gridCol w:w="4392"/>
        <w:gridCol w:w="4392"/>
      </w:tblGrid>
      <w:tr w:rsidR="00774BAF" w14:paraId="5733FBEF" w14:textId="77777777">
        <w:tc>
          <w:tcPr>
            <w:tcW w:w="4392" w:type="dxa"/>
            <w:shd w:val="clear" w:color="auto" w:fill="1F4E79"/>
          </w:tcPr>
          <w:p w14:paraId="5B58355E" w14:textId="77777777" w:rsidR="00774BAF" w:rsidRDefault="00000000">
            <w:pPr>
              <w:jc w:val="center"/>
            </w:pPr>
            <w:r>
              <w:rPr>
                <w:b/>
                <w:color w:val="FFFFFF"/>
              </w:rPr>
              <w:t>Step 2</w:t>
            </w:r>
          </w:p>
        </w:tc>
        <w:tc>
          <w:tcPr>
            <w:tcW w:w="4392" w:type="dxa"/>
            <w:shd w:val="clear" w:color="auto" w:fill="EBF3FB"/>
          </w:tcPr>
          <w:p w14:paraId="62043A0D" w14:textId="77777777" w:rsidR="00774BAF" w:rsidRDefault="00000000">
            <w:r>
              <w:rPr>
                <w:color w:val="1F4E79"/>
              </w:rPr>
              <w:t>Burp Extension exports all tab names, requests &amp; responses into a structured JSON file with one click</w:t>
            </w:r>
          </w:p>
        </w:tc>
      </w:tr>
    </w:tbl>
    <w:p w14:paraId="0054D94B" w14:textId="77777777" w:rsidR="00774BAF" w:rsidRDefault="00774BAF">
      <w:pPr>
        <w:spacing w:after="80"/>
      </w:pPr>
    </w:p>
    <w:tbl>
      <w:tblPr>
        <w:tblStyle w:val="TableGrid"/>
        <w:tblW w:w="0" w:type="auto"/>
        <w:tblLook w:val="04A0" w:firstRow="1" w:lastRow="0" w:firstColumn="1" w:lastColumn="0" w:noHBand="0" w:noVBand="1"/>
      </w:tblPr>
      <w:tblGrid>
        <w:gridCol w:w="4392"/>
        <w:gridCol w:w="4392"/>
      </w:tblGrid>
      <w:tr w:rsidR="00774BAF" w14:paraId="7082C94A" w14:textId="77777777">
        <w:tc>
          <w:tcPr>
            <w:tcW w:w="4392" w:type="dxa"/>
            <w:shd w:val="clear" w:color="auto" w:fill="1F4E79"/>
          </w:tcPr>
          <w:p w14:paraId="5220C113" w14:textId="77777777" w:rsidR="00774BAF" w:rsidRDefault="00000000">
            <w:pPr>
              <w:jc w:val="center"/>
            </w:pPr>
            <w:r>
              <w:rPr>
                <w:b/>
                <w:color w:val="FFFFFF"/>
              </w:rPr>
              <w:t>Step 3</w:t>
            </w:r>
          </w:p>
        </w:tc>
        <w:tc>
          <w:tcPr>
            <w:tcW w:w="4392" w:type="dxa"/>
            <w:shd w:val="clear" w:color="auto" w:fill="EBF3FB"/>
          </w:tcPr>
          <w:p w14:paraId="4D9BE3E6" w14:textId="77777777" w:rsidR="00774BAF" w:rsidRDefault="00000000">
            <w:r>
              <w:rPr>
                <w:color w:val="1F4E79"/>
              </w:rPr>
              <w:t>AI engine maps each finding to the correct TO control (TO.01–TO.99) using semantic understanding — no strict naming format required</w:t>
            </w:r>
          </w:p>
        </w:tc>
      </w:tr>
    </w:tbl>
    <w:p w14:paraId="64711ACF" w14:textId="77777777" w:rsidR="00774BAF" w:rsidRDefault="00774BAF">
      <w:pPr>
        <w:spacing w:after="80"/>
      </w:pPr>
    </w:p>
    <w:tbl>
      <w:tblPr>
        <w:tblStyle w:val="TableGrid"/>
        <w:tblW w:w="0" w:type="auto"/>
        <w:tblLook w:val="04A0" w:firstRow="1" w:lastRow="0" w:firstColumn="1" w:lastColumn="0" w:noHBand="0" w:noVBand="1"/>
      </w:tblPr>
      <w:tblGrid>
        <w:gridCol w:w="4392"/>
        <w:gridCol w:w="4392"/>
      </w:tblGrid>
      <w:tr w:rsidR="00774BAF" w14:paraId="7CF1785C" w14:textId="77777777">
        <w:tc>
          <w:tcPr>
            <w:tcW w:w="4392" w:type="dxa"/>
            <w:shd w:val="clear" w:color="auto" w:fill="1F4E79"/>
          </w:tcPr>
          <w:p w14:paraId="621E6C03" w14:textId="77777777" w:rsidR="00774BAF" w:rsidRDefault="00000000">
            <w:pPr>
              <w:jc w:val="center"/>
            </w:pPr>
            <w:r>
              <w:rPr>
                <w:b/>
                <w:color w:val="FFFFFF"/>
              </w:rPr>
              <w:t>Step 4</w:t>
            </w:r>
          </w:p>
        </w:tc>
        <w:tc>
          <w:tcPr>
            <w:tcW w:w="4392" w:type="dxa"/>
            <w:shd w:val="clear" w:color="auto" w:fill="EBF3FB"/>
          </w:tcPr>
          <w:p w14:paraId="44228FBF" w14:textId="77777777" w:rsidR="00774BAF" w:rsidRDefault="00000000">
            <w:r>
              <w:rPr>
                <w:color w:val="1F4E79"/>
              </w:rPr>
              <w:t>Tool auto-populates: Status, Results, Reason codes, and detailed Comments &amp; Observations in the Excel checklist</w:t>
            </w:r>
          </w:p>
        </w:tc>
      </w:tr>
    </w:tbl>
    <w:p w14:paraId="56A369CA" w14:textId="77777777" w:rsidR="00774BAF" w:rsidRDefault="00774BAF">
      <w:pPr>
        <w:spacing w:after="80"/>
      </w:pPr>
    </w:p>
    <w:tbl>
      <w:tblPr>
        <w:tblStyle w:val="TableGrid"/>
        <w:tblW w:w="0" w:type="auto"/>
        <w:tblLook w:val="04A0" w:firstRow="1" w:lastRow="0" w:firstColumn="1" w:lastColumn="0" w:noHBand="0" w:noVBand="1"/>
      </w:tblPr>
      <w:tblGrid>
        <w:gridCol w:w="4392"/>
        <w:gridCol w:w="4392"/>
      </w:tblGrid>
      <w:tr w:rsidR="00774BAF" w14:paraId="0A0149D5" w14:textId="77777777">
        <w:tc>
          <w:tcPr>
            <w:tcW w:w="4392" w:type="dxa"/>
            <w:shd w:val="clear" w:color="auto" w:fill="1F4E79"/>
          </w:tcPr>
          <w:p w14:paraId="561E5AB3" w14:textId="77777777" w:rsidR="00774BAF" w:rsidRDefault="00000000">
            <w:pPr>
              <w:jc w:val="center"/>
            </w:pPr>
            <w:r>
              <w:rPr>
                <w:b/>
                <w:color w:val="FFFFFF"/>
              </w:rPr>
              <w:t>Step 5</w:t>
            </w:r>
          </w:p>
        </w:tc>
        <w:tc>
          <w:tcPr>
            <w:tcW w:w="4392" w:type="dxa"/>
            <w:shd w:val="clear" w:color="auto" w:fill="EBF3FB"/>
          </w:tcPr>
          <w:p w14:paraId="658A6994" w14:textId="77777777" w:rsidR="00774BAF" w:rsidRDefault="00000000">
            <w:r>
              <w:rPr>
                <w:color w:val="1F4E79"/>
              </w:rPr>
              <w:t>Tester reviews low-confidence mappings (highlighted) and confirms with one click — final Excel ready to submit</w:t>
            </w:r>
          </w:p>
        </w:tc>
      </w:tr>
    </w:tbl>
    <w:p w14:paraId="6E7A158A" w14:textId="77777777" w:rsidR="00774BAF" w:rsidRDefault="00774BAF">
      <w:pPr>
        <w:spacing w:after="80"/>
      </w:pPr>
    </w:p>
    <w:p w14:paraId="6C7C6A5E" w14:textId="024C131A" w:rsidR="00B57D1F" w:rsidRDefault="00B57D1F" w:rsidP="00B57D1F">
      <w:pPr>
        <w:spacing w:after="80"/>
        <w:jc w:val="center"/>
      </w:pPr>
      <w:r w:rsidRPr="00B57D1F">
        <w:rPr>
          <w:noProof/>
        </w:rPr>
        <w:lastRenderedPageBreak/>
        <w:drawing>
          <wp:inline distT="0" distB="0" distL="0" distR="0" wp14:anchorId="3B858EFB" wp14:editId="7163741F">
            <wp:extent cx="5577840" cy="5080000"/>
            <wp:effectExtent l="19050" t="19050" r="22860" b="25400"/>
            <wp:docPr id="196366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61842" name=""/>
                    <pic:cNvPicPr/>
                  </pic:nvPicPr>
                  <pic:blipFill>
                    <a:blip r:embed="rId6"/>
                    <a:stretch>
                      <a:fillRect/>
                    </a:stretch>
                  </pic:blipFill>
                  <pic:spPr>
                    <a:xfrm>
                      <a:off x="0" y="0"/>
                      <a:ext cx="5577840" cy="5080000"/>
                    </a:xfrm>
                    <a:prstGeom prst="rect">
                      <a:avLst/>
                    </a:prstGeom>
                    <a:ln w="19050">
                      <a:solidFill>
                        <a:schemeClr val="tx1"/>
                      </a:solidFill>
                    </a:ln>
                  </pic:spPr>
                </pic:pic>
              </a:graphicData>
            </a:graphic>
          </wp:inline>
        </w:drawing>
      </w:r>
    </w:p>
    <w:p w14:paraId="5C9952EE" w14:textId="77777777" w:rsidR="00774BAF" w:rsidRDefault="00774BAF">
      <w:pPr>
        <w:spacing w:after="40"/>
      </w:pPr>
    </w:p>
    <w:p w14:paraId="010F61C9" w14:textId="77777777" w:rsidR="00774BAF" w:rsidRDefault="00000000">
      <w:pPr>
        <w:spacing w:after="80"/>
      </w:pPr>
      <w:r>
        <w:rPr>
          <w:b/>
          <w:color w:val="1F4E79"/>
          <w:sz w:val="28"/>
        </w:rPr>
        <w:t>3.  Key Benefits</w:t>
      </w:r>
    </w:p>
    <w:tbl>
      <w:tblPr>
        <w:tblStyle w:val="TableGrid"/>
        <w:tblW w:w="0" w:type="auto"/>
        <w:tblLook w:val="04A0" w:firstRow="1" w:lastRow="0" w:firstColumn="1" w:lastColumn="0" w:noHBand="0" w:noVBand="1"/>
      </w:tblPr>
      <w:tblGrid>
        <w:gridCol w:w="4392"/>
        <w:gridCol w:w="4392"/>
      </w:tblGrid>
      <w:tr w:rsidR="00774BAF" w14:paraId="4F9E6B49" w14:textId="77777777">
        <w:tc>
          <w:tcPr>
            <w:tcW w:w="4392" w:type="dxa"/>
            <w:shd w:val="clear" w:color="auto" w:fill="1F4E79"/>
          </w:tcPr>
          <w:p w14:paraId="46271005" w14:textId="77777777" w:rsidR="00774BAF" w:rsidRDefault="00000000">
            <w:r>
              <w:rPr>
                <w:b/>
                <w:color w:val="FFFFFF"/>
              </w:rPr>
              <w:t>Benefit</w:t>
            </w:r>
          </w:p>
        </w:tc>
        <w:tc>
          <w:tcPr>
            <w:tcW w:w="4392" w:type="dxa"/>
            <w:shd w:val="clear" w:color="auto" w:fill="1F4E79"/>
          </w:tcPr>
          <w:p w14:paraId="639E6BE7" w14:textId="77777777" w:rsidR="00774BAF" w:rsidRDefault="00000000">
            <w:r>
              <w:rPr>
                <w:b/>
                <w:color w:val="FFFFFF"/>
              </w:rPr>
              <w:t>Detail</w:t>
            </w:r>
          </w:p>
        </w:tc>
      </w:tr>
      <w:tr w:rsidR="00774BAF" w14:paraId="39A054F3" w14:textId="77777777">
        <w:tc>
          <w:tcPr>
            <w:tcW w:w="4392" w:type="dxa"/>
            <w:shd w:val="clear" w:color="auto" w:fill="EBF3FB"/>
          </w:tcPr>
          <w:p w14:paraId="0B86BEB7" w14:textId="77777777" w:rsidR="00774BAF" w:rsidRDefault="00000000">
            <w:r>
              <w:rPr>
                <w:b/>
                <w:color w:val="1F4E79"/>
              </w:rPr>
              <w:t>Time Saving</w:t>
            </w:r>
          </w:p>
        </w:tc>
        <w:tc>
          <w:tcPr>
            <w:tcW w:w="4392" w:type="dxa"/>
            <w:shd w:val="clear" w:color="auto" w:fill="EBF3FB"/>
          </w:tcPr>
          <w:p w14:paraId="4B4F3B3C" w14:textId="77777777" w:rsidR="00774BAF" w:rsidRDefault="00000000">
            <w:r>
              <w:t>Estimated 1–2 hours saved per engagement. Significant ROI across team throughput.</w:t>
            </w:r>
          </w:p>
        </w:tc>
      </w:tr>
      <w:tr w:rsidR="00774BAF" w14:paraId="7FC6CB82" w14:textId="77777777">
        <w:tc>
          <w:tcPr>
            <w:tcW w:w="4392" w:type="dxa"/>
          </w:tcPr>
          <w:p w14:paraId="56E7B42F" w14:textId="77777777" w:rsidR="00774BAF" w:rsidRDefault="00000000">
            <w:r>
              <w:rPr>
                <w:b/>
                <w:color w:val="1F4E79"/>
              </w:rPr>
              <w:t>Consistency</w:t>
            </w:r>
          </w:p>
        </w:tc>
        <w:tc>
          <w:tcPr>
            <w:tcW w:w="4392" w:type="dxa"/>
          </w:tcPr>
          <w:p w14:paraId="11F85AF9" w14:textId="0AC05A05" w:rsidR="00774BAF" w:rsidRDefault="00000000">
            <w:r>
              <w:t xml:space="preserve">Standardised observations generated for every TO </w:t>
            </w:r>
            <w:r w:rsidR="00B57D1F">
              <w:t>-</w:t>
            </w:r>
            <w:r>
              <w:t xml:space="preserve"> same quality regardless of tester.</w:t>
            </w:r>
          </w:p>
        </w:tc>
      </w:tr>
      <w:tr w:rsidR="00774BAF" w14:paraId="710E7B67" w14:textId="77777777">
        <w:tc>
          <w:tcPr>
            <w:tcW w:w="4392" w:type="dxa"/>
            <w:shd w:val="clear" w:color="auto" w:fill="EBF3FB"/>
          </w:tcPr>
          <w:p w14:paraId="087A3E41" w14:textId="77777777" w:rsidR="00774BAF" w:rsidRDefault="00000000">
            <w:r>
              <w:rPr>
                <w:b/>
                <w:color w:val="1F4E79"/>
              </w:rPr>
              <w:t>Full Coverage</w:t>
            </w:r>
          </w:p>
        </w:tc>
        <w:tc>
          <w:tcPr>
            <w:tcW w:w="4392" w:type="dxa"/>
            <w:shd w:val="clear" w:color="auto" w:fill="EBF3FB"/>
          </w:tcPr>
          <w:p w14:paraId="54B2F930" w14:textId="77777777" w:rsidR="00774BAF" w:rsidRDefault="00000000">
            <w:r>
              <w:t>Tool flags any TO that has not been tested, eliminating missed baseline entries.</w:t>
            </w:r>
          </w:p>
        </w:tc>
      </w:tr>
      <w:tr w:rsidR="00774BAF" w14:paraId="17D4B7AE" w14:textId="77777777">
        <w:tc>
          <w:tcPr>
            <w:tcW w:w="4392" w:type="dxa"/>
          </w:tcPr>
          <w:p w14:paraId="53A11DDF" w14:textId="77777777" w:rsidR="00774BAF" w:rsidRDefault="00000000">
            <w:r>
              <w:rPr>
                <w:b/>
                <w:color w:val="1F4E79"/>
              </w:rPr>
              <w:t>Flexible Input</w:t>
            </w:r>
          </w:p>
        </w:tc>
        <w:tc>
          <w:tcPr>
            <w:tcW w:w="4392" w:type="dxa"/>
          </w:tcPr>
          <w:p w14:paraId="6703CCCD" w14:textId="77777777" w:rsidR="00774BAF" w:rsidRDefault="00000000">
            <w:r>
              <w:t>Works with any tab naming style — testers are not forced to follow rigid formats.</w:t>
            </w:r>
          </w:p>
        </w:tc>
      </w:tr>
    </w:tbl>
    <w:p w14:paraId="56975491" w14:textId="77777777" w:rsidR="00774BAF" w:rsidRDefault="00774BAF">
      <w:pPr>
        <w:spacing w:after="120"/>
      </w:pPr>
    </w:p>
    <w:p w14:paraId="06942E06" w14:textId="77777777" w:rsidR="00774BAF" w:rsidRDefault="00000000">
      <w:pPr>
        <w:spacing w:after="80"/>
      </w:pPr>
      <w:r>
        <w:rPr>
          <w:b/>
          <w:color w:val="1F4E79"/>
          <w:sz w:val="28"/>
        </w:rPr>
        <w:t>4.  Technical Approach &amp; Constraints</w:t>
      </w:r>
    </w:p>
    <w:p w14:paraId="7DB64C81" w14:textId="77777777" w:rsidR="00774BAF" w:rsidRDefault="00000000">
      <w:pPr>
        <w:spacing w:after="80"/>
      </w:pPr>
      <w:r>
        <w:t>The solution is designed specifically for the bank environment with zero external dependencies:</w:t>
      </w:r>
    </w:p>
    <w:p w14:paraId="55A1F722" w14:textId="77777777" w:rsidR="00774BAF" w:rsidRDefault="00000000">
      <w:pPr>
        <w:pStyle w:val="ListBullet"/>
        <w:spacing w:after="80"/>
        <w:ind w:left="432"/>
      </w:pPr>
      <w:r>
        <w:lastRenderedPageBreak/>
        <w:t>Burp Extension (.jar): Installed once per machine via Burp's Extender tab — no admin rights required</w:t>
      </w:r>
    </w:p>
    <w:p w14:paraId="4192C05F" w14:textId="77777777" w:rsidR="00774BAF" w:rsidRDefault="00000000">
      <w:pPr>
        <w:pStyle w:val="ListBullet"/>
        <w:spacing w:after="80"/>
        <w:ind w:left="432"/>
      </w:pPr>
      <w:r>
        <w:t>Static HTML Tool: Single .html file, runs entirely in the browser — no server, no hosting, no installation</w:t>
      </w:r>
    </w:p>
    <w:p w14:paraId="35EAE15E" w14:textId="77777777" w:rsidR="00774BAF" w:rsidRDefault="00000000">
      <w:pPr>
        <w:pStyle w:val="ListBullet"/>
        <w:spacing w:after="80"/>
        <w:ind w:left="432"/>
      </w:pPr>
      <w:r>
        <w:t>AI via existing API access: Uses the team's current OpenAI API access for observation generation</w:t>
      </w:r>
    </w:p>
    <w:p w14:paraId="0ED4995C" w14:textId="77777777" w:rsidR="00774BAF" w:rsidRDefault="00000000">
      <w:pPr>
        <w:pStyle w:val="ListBullet"/>
        <w:spacing w:after="80"/>
        <w:ind w:left="432"/>
      </w:pPr>
      <w:r>
        <w:t>Output: Filled Excel checklist downloaded locally — no data leaves the machine except the AI API call</w:t>
      </w:r>
    </w:p>
    <w:p w14:paraId="0D0C1978" w14:textId="77777777" w:rsidR="00774BAF" w:rsidRDefault="00000000">
      <w:pPr>
        <w:pStyle w:val="ListBullet"/>
        <w:spacing w:after="80"/>
        <w:ind w:left="432"/>
      </w:pPr>
      <w:r>
        <w:t>Team distribution: Two files shared via email — BurpExtension.jar and checklist_tool.html</w:t>
      </w:r>
    </w:p>
    <w:p w14:paraId="2439C92B" w14:textId="77777777" w:rsidR="00774BAF" w:rsidRDefault="00774BAF">
      <w:pPr>
        <w:spacing w:after="120"/>
      </w:pPr>
    </w:p>
    <w:p w14:paraId="57E72F6A" w14:textId="77777777" w:rsidR="00774BAF" w:rsidRDefault="00000000">
      <w:pPr>
        <w:spacing w:after="80"/>
      </w:pPr>
      <w:r>
        <w:rPr>
          <w:b/>
          <w:color w:val="1F4E79"/>
          <w:sz w:val="28"/>
        </w:rPr>
        <w:t>5.  Request for Approval</w:t>
      </w:r>
    </w:p>
    <w:p w14:paraId="5B12E992" w14:textId="77777777" w:rsidR="00774BAF" w:rsidRDefault="00000000">
      <w:pPr>
        <w:spacing w:after="120"/>
      </w:pPr>
      <w:r>
        <w:t>We request approval to proceed with building a proof-of-concept (PoC) for this tool. The PoC will demonstrate end-to-end automation from Burp Suite export to a fully populated Excel checklist for one engagement.</w:t>
      </w:r>
    </w:p>
    <w:p w14:paraId="6F59D47B" w14:textId="77777777" w:rsidR="00774BAF" w:rsidRDefault="00000000">
      <w:pPr>
        <w:spacing w:after="80"/>
      </w:pPr>
      <w:r>
        <w:t>Resources required: OpenAI API key access confirmation</w:t>
      </w:r>
    </w:p>
    <w:p w14:paraId="64397761" w14:textId="77777777" w:rsidR="00774BAF" w:rsidRDefault="00000000">
      <w:r>
        <w:t>Risk: Minimal — no infrastructure changes, no data stored externally</w:t>
      </w:r>
    </w:p>
    <w:p w14:paraId="0BA5B875" w14:textId="1D72B111" w:rsidR="00774BAF" w:rsidRDefault="00000000">
      <w:pPr>
        <w:pBdr>
          <w:top w:val="single" w:sz="6" w:space="1" w:color="1F4E79"/>
        </w:pBdr>
        <w:spacing w:before="200"/>
        <w:jc w:val="center"/>
      </w:pPr>
      <w:r>
        <w:rPr>
          <w:color w:val="808080"/>
          <w:sz w:val="18"/>
        </w:rPr>
        <w:t xml:space="preserve">Prepared by: </w:t>
      </w:r>
      <w:r w:rsidR="00031898">
        <w:rPr>
          <w:color w:val="808080"/>
          <w:sz w:val="18"/>
        </w:rPr>
        <w:t>Saurav &amp; Pratyush | Classification</w:t>
      </w:r>
      <w:r>
        <w:rPr>
          <w:color w:val="808080"/>
          <w:sz w:val="18"/>
        </w:rPr>
        <w:t>: Internal</w:t>
      </w:r>
    </w:p>
    <w:sectPr w:rsidR="00774BAF"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2654382">
    <w:abstractNumId w:val="8"/>
  </w:num>
  <w:num w:numId="2" w16cid:durableId="1591892493">
    <w:abstractNumId w:val="6"/>
  </w:num>
  <w:num w:numId="3" w16cid:durableId="116605696">
    <w:abstractNumId w:val="5"/>
  </w:num>
  <w:num w:numId="4" w16cid:durableId="629749883">
    <w:abstractNumId w:val="4"/>
  </w:num>
  <w:num w:numId="5" w16cid:durableId="762799269">
    <w:abstractNumId w:val="7"/>
  </w:num>
  <w:num w:numId="6" w16cid:durableId="1416129727">
    <w:abstractNumId w:val="3"/>
  </w:num>
  <w:num w:numId="7" w16cid:durableId="796534139">
    <w:abstractNumId w:val="2"/>
  </w:num>
  <w:num w:numId="8" w16cid:durableId="534663496">
    <w:abstractNumId w:val="1"/>
  </w:num>
  <w:num w:numId="9" w16cid:durableId="1698772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898"/>
    <w:rsid w:val="00034616"/>
    <w:rsid w:val="0006063C"/>
    <w:rsid w:val="000875F2"/>
    <w:rsid w:val="0015074B"/>
    <w:rsid w:val="0029639D"/>
    <w:rsid w:val="002D0645"/>
    <w:rsid w:val="00326F90"/>
    <w:rsid w:val="00774BAF"/>
    <w:rsid w:val="00AA1D8D"/>
    <w:rsid w:val="00B47730"/>
    <w:rsid w:val="00B57D1F"/>
    <w:rsid w:val="00CB0664"/>
    <w:rsid w:val="00F278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F6AC9"/>
  <w14:defaultImageDpi w14:val="300"/>
  <w15:docId w15:val="{8A0DB9A9-CD4F-4532-8DE9-024D28A58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Saurav Shukla</cp:lastModifiedBy>
  <cp:revision>4</cp:revision>
  <dcterms:created xsi:type="dcterms:W3CDTF">2013-12-23T23:15:00Z</dcterms:created>
  <dcterms:modified xsi:type="dcterms:W3CDTF">2026-03-17T15:29:00Z</dcterms:modified>
  <cp:category/>
</cp:coreProperties>
</file>