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C33" w:rsidRPr="00672C33" w:rsidRDefault="00672C33" w:rsidP="00672C33">
      <w:pPr>
        <w:jc w:val="center"/>
        <w:rPr>
          <w:rFonts w:cstheme="minorHAnsi"/>
          <w:b/>
          <w:sz w:val="32"/>
          <w:szCs w:val="32"/>
          <w:u w:val="single"/>
        </w:rPr>
      </w:pPr>
      <w:r w:rsidRPr="00672C33">
        <w:rPr>
          <w:rFonts w:cstheme="minorHAnsi"/>
          <w:b/>
          <w:sz w:val="32"/>
          <w:szCs w:val="32"/>
          <w:u w:val="single"/>
        </w:rPr>
        <w:t>Class Activity</w:t>
      </w:r>
    </w:p>
    <w:p w:rsidR="00672C33" w:rsidRPr="00672C33" w:rsidRDefault="00672C33" w:rsidP="00672C33">
      <w:pPr>
        <w:spacing w:after="0"/>
        <w:rPr>
          <w:rFonts w:cstheme="minorHAnsi"/>
          <w:b/>
          <w:sz w:val="28"/>
          <w:szCs w:val="28"/>
        </w:rPr>
      </w:pPr>
      <w:r w:rsidRPr="00672C33">
        <w:rPr>
          <w:rFonts w:cstheme="minorHAnsi"/>
          <w:b/>
          <w:sz w:val="28"/>
          <w:szCs w:val="28"/>
        </w:rPr>
        <w:t>Name: Saman Khan</w:t>
      </w:r>
    </w:p>
    <w:p w:rsidR="00672C33" w:rsidRPr="00672C33" w:rsidRDefault="00672C33" w:rsidP="00672C33">
      <w:pPr>
        <w:spacing w:after="0"/>
        <w:rPr>
          <w:rFonts w:cstheme="minorHAnsi"/>
          <w:b/>
          <w:sz w:val="28"/>
          <w:szCs w:val="28"/>
        </w:rPr>
      </w:pPr>
      <w:r w:rsidRPr="00672C33">
        <w:rPr>
          <w:rFonts w:cstheme="minorHAnsi"/>
          <w:b/>
          <w:sz w:val="28"/>
          <w:szCs w:val="28"/>
        </w:rPr>
        <w:t>ID: 19K-0354</w:t>
      </w:r>
    </w:p>
    <w:p w:rsidR="00672C33" w:rsidRPr="00672C33" w:rsidRDefault="00672C33" w:rsidP="00672C33">
      <w:pPr>
        <w:spacing w:after="0"/>
        <w:rPr>
          <w:rFonts w:cstheme="minorHAnsi"/>
          <w:b/>
          <w:sz w:val="28"/>
          <w:szCs w:val="28"/>
        </w:rPr>
      </w:pPr>
      <w:r w:rsidRPr="00672C33">
        <w:rPr>
          <w:rFonts w:cstheme="minorHAnsi"/>
          <w:b/>
          <w:sz w:val="28"/>
          <w:szCs w:val="28"/>
        </w:rPr>
        <w:t>Section: H</w:t>
      </w:r>
    </w:p>
    <w:p w:rsidR="00672C33" w:rsidRPr="00672C33" w:rsidRDefault="00672C33" w:rsidP="00672C33">
      <w:pPr>
        <w:rPr>
          <w:rFonts w:cstheme="minorHAnsi"/>
        </w:rPr>
      </w:pPr>
    </w:p>
    <w:p w:rsidR="00672C33" w:rsidRPr="00672C33" w:rsidRDefault="00672C33" w:rsidP="00672C33">
      <w:pPr>
        <w:jc w:val="center"/>
        <w:rPr>
          <w:rFonts w:cstheme="minorHAnsi"/>
          <w:b/>
          <w:sz w:val="32"/>
          <w:szCs w:val="32"/>
          <w:u w:val="single"/>
        </w:rPr>
      </w:pPr>
      <w:r w:rsidRPr="00672C33">
        <w:rPr>
          <w:rFonts w:cstheme="minorHAnsi"/>
          <w:b/>
          <w:sz w:val="32"/>
          <w:szCs w:val="32"/>
          <w:u w:val="single"/>
        </w:rPr>
        <w:t xml:space="preserve">ARTICLE OF ASSOCIATION </w:t>
      </w:r>
      <w:r w:rsidRPr="00672C33">
        <w:rPr>
          <w:rFonts w:cstheme="minorHAnsi"/>
          <w:b/>
          <w:sz w:val="32"/>
          <w:szCs w:val="32"/>
          <w:u w:val="single"/>
        </w:rPr>
        <w:t>(</w:t>
      </w:r>
      <w:r w:rsidRPr="00672C33">
        <w:rPr>
          <w:rFonts w:cstheme="minorHAnsi"/>
          <w:b/>
          <w:sz w:val="32"/>
          <w:szCs w:val="32"/>
          <w:u w:val="single"/>
        </w:rPr>
        <w:t>AOA</w:t>
      </w:r>
      <w:r w:rsidRPr="00672C33">
        <w:rPr>
          <w:rFonts w:cstheme="minorHAnsi"/>
          <w:b/>
          <w:sz w:val="32"/>
          <w:szCs w:val="32"/>
          <w:u w:val="single"/>
        </w:rPr>
        <w:t>)</w:t>
      </w:r>
    </w:p>
    <w:p w:rsidR="00672C33" w:rsidRPr="00672C33" w:rsidRDefault="00672C33" w:rsidP="00672C33">
      <w:pPr>
        <w:jc w:val="center"/>
        <w:rPr>
          <w:rFonts w:cstheme="minorHAnsi"/>
          <w:b/>
          <w:sz w:val="32"/>
          <w:szCs w:val="32"/>
          <w:u w:val="single"/>
        </w:rPr>
      </w:pPr>
      <w:r w:rsidRPr="00672C33">
        <w:rPr>
          <w:rFonts w:cstheme="minorHAnsi"/>
          <w:b/>
          <w:sz w:val="32"/>
          <w:szCs w:val="32"/>
          <w:u w:val="single"/>
        </w:rPr>
        <w:t>OF</w:t>
      </w:r>
    </w:p>
    <w:p w:rsidR="00672C33" w:rsidRPr="00672C33" w:rsidRDefault="00672C33" w:rsidP="00672C33">
      <w:pPr>
        <w:jc w:val="center"/>
        <w:rPr>
          <w:rFonts w:cstheme="minorHAnsi"/>
          <w:b/>
          <w:sz w:val="32"/>
          <w:szCs w:val="32"/>
          <w:u w:val="single"/>
        </w:rPr>
      </w:pPr>
      <w:r w:rsidRPr="00672C33">
        <w:rPr>
          <w:rFonts w:cstheme="minorHAnsi"/>
          <w:b/>
          <w:sz w:val="32"/>
          <w:szCs w:val="32"/>
          <w:u w:val="single"/>
        </w:rPr>
        <w:t>KHAN ENTERPRISE</w:t>
      </w:r>
    </w:p>
    <w:p w:rsidR="00672C33" w:rsidRPr="00672C33" w:rsidRDefault="00672C33" w:rsidP="00672C33">
      <w:pPr>
        <w:jc w:val="center"/>
        <w:rPr>
          <w:rFonts w:cstheme="minorHAnsi"/>
          <w:b/>
          <w:sz w:val="32"/>
          <w:szCs w:val="32"/>
          <w:u w:val="single"/>
        </w:rPr>
      </w:pP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Trade name of the company and domicile</w:t>
      </w:r>
    </w:p>
    <w:p w:rsidR="00672C33" w:rsidRPr="00672C33" w:rsidRDefault="00672C33" w:rsidP="00672C33">
      <w:pPr>
        <w:pStyle w:val="NormalWeb"/>
        <w:shd w:val="clear" w:color="auto" w:fill="FFFFFF"/>
        <w:spacing w:before="0" w:beforeAutospacing="0" w:after="225" w:afterAutospacing="0" w:line="330" w:lineRule="atLeast"/>
        <w:rPr>
          <w:rFonts w:asciiTheme="minorHAnsi" w:hAnsiTheme="minorHAnsi" w:cstheme="minorHAnsi"/>
          <w:sz w:val="22"/>
          <w:szCs w:val="22"/>
          <w:lang w:val="en-US"/>
        </w:rPr>
      </w:pPr>
      <w:r w:rsidRPr="00672C33">
        <w:rPr>
          <w:rFonts w:asciiTheme="minorHAnsi" w:hAnsiTheme="minorHAnsi" w:cstheme="minorHAnsi"/>
          <w:sz w:val="22"/>
          <w:szCs w:val="22"/>
        </w:rPr>
        <w:t xml:space="preserve">The trade name of the company is </w:t>
      </w:r>
      <w:r w:rsidRPr="00672C33">
        <w:rPr>
          <w:rFonts w:asciiTheme="minorHAnsi" w:hAnsiTheme="minorHAnsi" w:cstheme="minorHAnsi"/>
          <w:sz w:val="22"/>
          <w:szCs w:val="22"/>
          <w:lang w:val="en-US"/>
        </w:rPr>
        <w:t>Khan Enterprise</w:t>
      </w:r>
      <w:r w:rsidRPr="00672C33">
        <w:rPr>
          <w:rFonts w:asciiTheme="minorHAnsi" w:hAnsiTheme="minorHAnsi" w:cstheme="minorHAnsi"/>
          <w:sz w:val="22"/>
          <w:szCs w:val="22"/>
          <w:lang w:val="en-US"/>
        </w:rPr>
        <w:t xml:space="preserve"> </w:t>
      </w:r>
      <w:r w:rsidRPr="00672C33">
        <w:rPr>
          <w:rFonts w:asciiTheme="minorHAnsi" w:hAnsiTheme="minorHAnsi" w:cstheme="minorHAnsi"/>
          <w:sz w:val="22"/>
          <w:szCs w:val="22"/>
        </w:rPr>
        <w:t xml:space="preserve">and its domicile is </w:t>
      </w:r>
      <w:r w:rsidRPr="00672C33">
        <w:rPr>
          <w:rFonts w:asciiTheme="minorHAnsi" w:hAnsiTheme="minorHAnsi" w:cstheme="minorHAnsi"/>
          <w:sz w:val="22"/>
          <w:szCs w:val="22"/>
          <w:lang w:val="en-US"/>
        </w:rPr>
        <w:t xml:space="preserve">Karachi, Sindh. </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Field of operation of the company</w:t>
      </w:r>
    </w:p>
    <w:p w:rsidR="00672C33" w:rsidRPr="00672C33" w:rsidRDefault="00672C33" w:rsidP="00672C33">
      <w:pPr>
        <w:rPr>
          <w:rFonts w:cstheme="minorHAnsi"/>
        </w:rPr>
      </w:pPr>
      <w:r w:rsidRPr="00672C33">
        <w:rPr>
          <w:rFonts w:cstheme="minorHAnsi"/>
        </w:rPr>
        <w:t>The company's commercial operations include restaurant and coffee shop operations, wholesale and retail trade of premises, raw materials, equipment, and fitments relevant to restaurant and coffee shop operations, and leasing activity associated to the aforementioned operations. The corporation may conduct business through subsidiaries and holding entities. Furthermore, the company's scope of activity is to control and own securities, shares, real estate, and other property in Karachi and overseas, either directly or through firms owned by it. The company's sphere of activity also includes providing administrative, financial, and other group services to its group firms, as well as providing security and guarantees on behalf of its group companies.</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Book-</w:t>
      </w:r>
      <w:r w:rsidRPr="00672C33">
        <w:rPr>
          <w:rFonts w:cstheme="minorHAnsi"/>
          <w:b/>
          <w:sz w:val="26"/>
          <w:szCs w:val="26"/>
        </w:rPr>
        <w:softHyphen/>
        <w:t>‐entry securities system</w:t>
      </w:r>
    </w:p>
    <w:p w:rsidR="00672C33" w:rsidRPr="00672C33" w:rsidRDefault="00672C33" w:rsidP="00672C33">
      <w:pPr>
        <w:rPr>
          <w:rFonts w:cstheme="minorHAnsi"/>
        </w:rPr>
      </w:pPr>
      <w:r w:rsidRPr="00672C33">
        <w:rPr>
          <w:rFonts w:cstheme="minorHAnsi"/>
        </w:rPr>
        <w:t>After the registration deadline designated by the Board of Directors has ended, the Company's shares are incorporated in the book-entry securities system.</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Board of directors</w:t>
      </w:r>
    </w:p>
    <w:p w:rsidR="00672C33" w:rsidRPr="00672C33" w:rsidRDefault="00672C33" w:rsidP="00672C33">
      <w:pPr>
        <w:rPr>
          <w:rFonts w:cstheme="minorHAnsi"/>
        </w:rPr>
      </w:pPr>
      <w:r w:rsidRPr="00672C33">
        <w:rPr>
          <w:rFonts w:cstheme="minorHAnsi"/>
        </w:rPr>
        <w:t xml:space="preserve">The administration of the company and the proper </w:t>
      </w:r>
      <w:r w:rsidRPr="00672C33">
        <w:rPr>
          <w:rFonts w:cstheme="minorHAnsi"/>
        </w:rPr>
        <w:t>organization</w:t>
      </w:r>
      <w:r w:rsidRPr="00672C33">
        <w:rPr>
          <w:rFonts w:cstheme="minorHAnsi"/>
        </w:rPr>
        <w:t xml:space="preserve"> of its activities are handled by the board of directors, which consists of at least five (5) and no more than ten (10) members based on the decision made by the general meeting.</w:t>
      </w:r>
    </w:p>
    <w:p w:rsidR="00672C33" w:rsidRPr="00672C33" w:rsidRDefault="00672C33" w:rsidP="00672C33">
      <w:pPr>
        <w:rPr>
          <w:rFonts w:cstheme="minorHAnsi"/>
        </w:rPr>
      </w:pPr>
      <w:r w:rsidRPr="00672C33">
        <w:rPr>
          <w:rFonts w:cstheme="minorHAnsi"/>
        </w:rPr>
        <w:t>A member of the Board of Directors' term of office expires at the end of the first Annual General Meeting following his or her election.</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CEO</w:t>
      </w:r>
    </w:p>
    <w:p w:rsidR="00672C33" w:rsidRPr="00672C33" w:rsidRDefault="00672C33" w:rsidP="00672C33">
      <w:pPr>
        <w:rPr>
          <w:rFonts w:cstheme="minorHAnsi"/>
        </w:rPr>
      </w:pPr>
      <w:r w:rsidRPr="00672C33">
        <w:rPr>
          <w:rFonts w:cstheme="minorHAnsi"/>
        </w:rPr>
        <w:t>The organization has a CEO. The board of directors appoints and dismisses the CEO.</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lastRenderedPageBreak/>
        <w:t>Representation of the company</w:t>
      </w:r>
    </w:p>
    <w:p w:rsidR="00672C33" w:rsidRPr="00672C33" w:rsidRDefault="00672C33" w:rsidP="00672C33">
      <w:pPr>
        <w:rPr>
          <w:rFonts w:cstheme="minorHAnsi"/>
        </w:rPr>
      </w:pPr>
      <w:r w:rsidRPr="00672C33">
        <w:rPr>
          <w:rFonts w:cstheme="minorHAnsi"/>
        </w:rPr>
        <w:t>The firm is represented by the managing director and the chairman of the board of directors, each alone, and two (2) members of the board of directors jointly or by two people jointly who have been granted a right of representation by the board of directors.</w:t>
      </w:r>
    </w:p>
    <w:p w:rsidR="00672C33" w:rsidRPr="00672C33" w:rsidRDefault="00672C33" w:rsidP="00672C33">
      <w:pPr>
        <w:rPr>
          <w:rFonts w:cstheme="minorHAnsi"/>
        </w:rPr>
      </w:pPr>
      <w:r w:rsidRPr="00672C33">
        <w:rPr>
          <w:rFonts w:cstheme="minorHAnsi"/>
        </w:rPr>
        <w:t>The board of directors has the authority to give representation rights.</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Financial year</w:t>
      </w:r>
    </w:p>
    <w:p w:rsidR="00672C33" w:rsidRPr="00672C33" w:rsidRDefault="00672C33" w:rsidP="00672C33">
      <w:pPr>
        <w:rPr>
          <w:rFonts w:cstheme="minorHAnsi"/>
        </w:rPr>
      </w:pPr>
      <w:r w:rsidRPr="00672C33">
        <w:rPr>
          <w:rFonts w:cstheme="minorHAnsi"/>
        </w:rPr>
        <w:t>The fiscal year of the company begins on 1 February each year and concludes on 31 January the following year.</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Auditors</w:t>
      </w:r>
    </w:p>
    <w:p w:rsidR="00672C33" w:rsidRPr="00672C33" w:rsidRDefault="00672C33" w:rsidP="00672C33">
      <w:pPr>
        <w:rPr>
          <w:rFonts w:cstheme="minorHAnsi"/>
        </w:rPr>
      </w:pPr>
      <w:r w:rsidRPr="00672C33">
        <w:rPr>
          <w:rFonts w:cstheme="minorHAnsi"/>
        </w:rPr>
        <w:t>The company must have one (1) auditor who is an authorized public accountant.</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Notice of the Ordinary General Meeting</w:t>
      </w:r>
    </w:p>
    <w:p w:rsidR="00672C33" w:rsidRPr="00672C33" w:rsidRDefault="00672C33" w:rsidP="00672C33">
      <w:pPr>
        <w:rPr>
          <w:rFonts w:cstheme="minorHAnsi"/>
        </w:rPr>
      </w:pPr>
      <w:r w:rsidRPr="00672C33">
        <w:rPr>
          <w:rFonts w:cstheme="minorHAnsi"/>
        </w:rPr>
        <w:t>The ordinary general meeting shall be convened annually at a date determined by the board of directors within six (6) months after the conclusion of the company's fiscal year.</w:t>
      </w:r>
    </w:p>
    <w:p w:rsidR="00672C33" w:rsidRPr="00672C33" w:rsidRDefault="00672C33" w:rsidP="00672C33">
      <w:pPr>
        <w:rPr>
          <w:rFonts w:cstheme="minorHAnsi"/>
        </w:rPr>
      </w:pPr>
      <w:r w:rsidRPr="00672C33">
        <w:rPr>
          <w:rFonts w:cstheme="minorHAnsi"/>
        </w:rPr>
        <w:t>The general meeting notice must be given no sooner than three (3) months and no later than three (3) weeks before the meeting. The invitation to a General Meeting, however, must be given no later than nine (9) days before the meeting's record date. The notice of the general meeting shall be distributed to shareholders by publishing it on the company's Internet sites or, at the discretion of the board of directors, in at least one national newspaper.</w:t>
      </w:r>
    </w:p>
    <w:p w:rsidR="00672C33" w:rsidRPr="00672C33" w:rsidRDefault="00672C33" w:rsidP="00672C33">
      <w:pPr>
        <w:rPr>
          <w:rFonts w:cstheme="minorHAnsi"/>
        </w:rPr>
      </w:pPr>
      <w:r w:rsidRPr="00672C33">
        <w:rPr>
          <w:rFonts w:cstheme="minorHAnsi"/>
        </w:rPr>
        <w:t>To be eligible to attend a General Meeting, a shareholder must notify the company of his or her intention to attend by the date provided in the General Meeting notice. The date specified shall not be more than ten (10) days before the meeting.</w:t>
      </w:r>
    </w:p>
    <w:p w:rsidR="00672C33" w:rsidRPr="00672C33" w:rsidRDefault="00672C33" w:rsidP="00672C33">
      <w:pPr>
        <w:pStyle w:val="ListParagraph"/>
        <w:numPr>
          <w:ilvl w:val="0"/>
          <w:numId w:val="1"/>
        </w:numPr>
        <w:rPr>
          <w:rFonts w:cstheme="minorHAnsi"/>
          <w:b/>
          <w:sz w:val="26"/>
          <w:szCs w:val="26"/>
          <w:u w:val="single"/>
        </w:rPr>
      </w:pPr>
      <w:r w:rsidRPr="00672C33">
        <w:rPr>
          <w:rFonts w:cstheme="minorHAnsi"/>
          <w:b/>
          <w:sz w:val="26"/>
          <w:szCs w:val="26"/>
        </w:rPr>
        <w:t>General Meeting</w:t>
      </w:r>
    </w:p>
    <w:p w:rsidR="00672C33" w:rsidRPr="00672C33" w:rsidRDefault="00672C33" w:rsidP="00672C33">
      <w:pPr>
        <w:rPr>
          <w:rFonts w:cstheme="minorHAnsi"/>
        </w:rPr>
      </w:pPr>
      <w:r w:rsidRPr="00672C33">
        <w:rPr>
          <w:rFonts w:cstheme="minorHAnsi"/>
        </w:rPr>
        <w:t>The following items will be presented at the regular general meeting:</w:t>
      </w:r>
    </w:p>
    <w:p w:rsidR="00672C33" w:rsidRDefault="00672C33" w:rsidP="00672C33">
      <w:pPr>
        <w:rPr>
          <w:rFonts w:cstheme="minorHAnsi"/>
        </w:rPr>
      </w:pPr>
      <w:r>
        <w:rPr>
          <w:rFonts w:cstheme="minorHAnsi"/>
        </w:rPr>
        <w:t>T</w:t>
      </w:r>
      <w:r w:rsidRPr="00672C33">
        <w:rPr>
          <w:rFonts w:cstheme="minorHAnsi"/>
        </w:rPr>
        <w:t>he financial st</w:t>
      </w:r>
      <w:r>
        <w:rPr>
          <w:rFonts w:cstheme="minorHAnsi"/>
        </w:rPr>
        <w:t>atements and annual report.</w:t>
      </w:r>
    </w:p>
    <w:p w:rsidR="00672C33" w:rsidRPr="00672C33" w:rsidRDefault="00672C33" w:rsidP="00672C33">
      <w:pPr>
        <w:pStyle w:val="ListParagraph"/>
        <w:numPr>
          <w:ilvl w:val="0"/>
          <w:numId w:val="2"/>
        </w:numPr>
        <w:rPr>
          <w:rFonts w:cstheme="minorHAnsi"/>
        </w:rPr>
      </w:pPr>
      <w:r w:rsidRPr="00672C33">
        <w:rPr>
          <w:rFonts w:cstheme="minorHAnsi"/>
        </w:rPr>
        <w:t>The auditor's report; decided.</w:t>
      </w:r>
      <w:bookmarkStart w:id="0" w:name="_GoBack"/>
      <w:bookmarkEnd w:id="0"/>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he adoption</w:t>
      </w:r>
      <w:r w:rsidRPr="00672C33">
        <w:rPr>
          <w:rFonts w:cstheme="minorHAnsi"/>
        </w:rPr>
        <w:t xml:space="preserve"> of the financial accounts.</w:t>
      </w:r>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he us</w:t>
      </w:r>
      <w:r w:rsidRPr="00672C33">
        <w:rPr>
          <w:rFonts w:cstheme="minorHAnsi"/>
        </w:rPr>
        <w:t xml:space="preserve">e of the balance-sheet profit. </w:t>
      </w:r>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he release of the members of the board of directors and the managing director from o</w:t>
      </w:r>
      <w:r w:rsidRPr="00672C33">
        <w:rPr>
          <w:rFonts w:cstheme="minorHAnsi"/>
        </w:rPr>
        <w:t>bligation.</w:t>
      </w:r>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 xml:space="preserve">he remuneration of the members of the board of directors </w:t>
      </w:r>
      <w:r w:rsidRPr="00672C33">
        <w:rPr>
          <w:rFonts w:cstheme="minorHAnsi"/>
        </w:rPr>
        <w:t>and, if necessary, the auditors.</w:t>
      </w:r>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he number of members of the board of directors and auditors, if necessary; elected:</w:t>
      </w:r>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 xml:space="preserve">he members of the board </w:t>
      </w:r>
      <w:r w:rsidRPr="00672C33">
        <w:rPr>
          <w:rFonts w:cstheme="minorHAnsi"/>
        </w:rPr>
        <w:t>of directors, if necessary.</w:t>
      </w:r>
    </w:p>
    <w:p w:rsidR="00672C33" w:rsidRPr="00672C33" w:rsidRDefault="00672C33" w:rsidP="00672C33">
      <w:pPr>
        <w:pStyle w:val="ListParagraph"/>
        <w:numPr>
          <w:ilvl w:val="0"/>
          <w:numId w:val="2"/>
        </w:numPr>
        <w:rPr>
          <w:rFonts w:cstheme="minorHAnsi"/>
        </w:rPr>
      </w:pPr>
      <w:r w:rsidRPr="00672C33">
        <w:rPr>
          <w:rFonts w:cstheme="minorHAnsi"/>
        </w:rPr>
        <w:t>T</w:t>
      </w:r>
      <w:r w:rsidRPr="00672C33">
        <w:rPr>
          <w:rFonts w:cstheme="minorHAnsi"/>
        </w:rPr>
        <w:t>he auditor(s</w:t>
      </w:r>
      <w:r w:rsidRPr="00672C33">
        <w:rPr>
          <w:rFonts w:cstheme="minorHAnsi"/>
        </w:rPr>
        <w:t>), if necessary; and dealt with.</w:t>
      </w:r>
    </w:p>
    <w:p w:rsidR="00672C33" w:rsidRPr="00672C33" w:rsidRDefault="00672C33" w:rsidP="00672C33">
      <w:pPr>
        <w:pStyle w:val="ListParagraph"/>
        <w:numPr>
          <w:ilvl w:val="0"/>
          <w:numId w:val="2"/>
        </w:numPr>
        <w:rPr>
          <w:rFonts w:cstheme="minorHAnsi"/>
        </w:rPr>
      </w:pPr>
      <w:r w:rsidRPr="00672C33">
        <w:rPr>
          <w:rFonts w:cstheme="minorHAnsi"/>
        </w:rPr>
        <w:t>A</w:t>
      </w:r>
      <w:r w:rsidRPr="00672C33">
        <w:rPr>
          <w:rFonts w:cstheme="minorHAnsi"/>
        </w:rPr>
        <w:t>dditional items included in the meeting notice</w:t>
      </w:r>
      <w:r w:rsidRPr="00672C33">
        <w:rPr>
          <w:rFonts w:cstheme="minorHAnsi"/>
        </w:rPr>
        <w:t>.</w:t>
      </w:r>
    </w:p>
    <w:p w:rsidR="00404291" w:rsidRPr="00672C33" w:rsidRDefault="00404291">
      <w:pPr>
        <w:rPr>
          <w:rFonts w:cstheme="minorHAnsi"/>
        </w:rPr>
      </w:pPr>
    </w:p>
    <w:sectPr w:rsidR="00404291" w:rsidRPr="00672C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15E6F"/>
    <w:multiLevelType w:val="hybridMultilevel"/>
    <w:tmpl w:val="026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B3E81"/>
    <w:multiLevelType w:val="hybridMultilevel"/>
    <w:tmpl w:val="6AC21EBE"/>
    <w:lvl w:ilvl="0" w:tplc="E52E91F6">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33"/>
    <w:rsid w:val="00404291"/>
    <w:rsid w:val="0067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B9CA4-21CD-4113-A7D7-4B3D3883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33"/>
    <w:pPr>
      <w:ind w:left="720"/>
      <w:contextualSpacing/>
    </w:pPr>
  </w:style>
  <w:style w:type="paragraph" w:styleId="NormalWeb">
    <w:name w:val="Normal (Web)"/>
    <w:basedOn w:val="Normal"/>
    <w:uiPriority w:val="99"/>
    <w:unhideWhenUsed/>
    <w:rsid w:val="00672C3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572</Words>
  <Characters>3265</Characters>
  <Application>Microsoft Office Word</Application>
  <DocSecurity>0</DocSecurity>
  <Lines>27</Lines>
  <Paragraphs>7</Paragraphs>
  <ScaleCrop>false</ScaleCrop>
  <Company>HP</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2022-10-19T18:10:00Z</dcterms:created>
  <dcterms:modified xsi:type="dcterms:W3CDTF">2022-10-19T18:25:00Z</dcterms:modified>
</cp:coreProperties>
</file>