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1F4E79"/>
          <w:sz w:val="44"/>
        </w:rPr>
        <w:t>《项目救火办：今日不背锅》</w:t>
        <w:br/>
        <w:t>小游戏开发策划案（V1.0）</w:t>
      </w:r>
    </w:p>
    <w:p>
      <w:pPr>
        <w:jc w:val="center"/>
      </w:pPr>
      <w:r>
        <w:rPr>
          <w:i/>
          <w:sz w:val="22"/>
        </w:rPr>
        <w:t>定位：办公室碎片时间可玩的低调职场轻策略网页游戏</w:t>
      </w:r>
    </w:p>
    <w:p/>
    <w:p>
      <w:r>
        <w:t>文档目的：在不增加核心操作和新玩法的前提下，扩充项目题材、角色、事件、叙事反馈、结局及界面细节，使游戏具备可重复游玩的内容厚度，并可快速落地为 HTML/CSS/JavaScript 单页 Demo。</w:t>
      </w:r>
    </w:p>
    <w:p>
      <w:pPr>
        <w:pStyle w:val="Heading1"/>
      </w:pPr>
      <w:r>
        <w:t>一、项目概述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4816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项目项</w:t>
            </w:r>
          </w:p>
        </w:tc>
        <w:tc>
          <w:tcPr>
            <w:tcW w:type="dxa" w:w="4816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定义</w:t>
            </w:r>
          </w:p>
        </w:tc>
      </w:tr>
      <w:tr>
        <w:tc>
          <w:tcPr>
            <w:tcW w:type="dxa" w:w="4816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游戏名称</w:t>
            </w:r>
          </w:p>
        </w:tc>
        <w:tc>
          <w:tcPr>
            <w:tcW w:type="dxa" w:w="4816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项目救火办：今日不背锅</w:t>
            </w:r>
          </w:p>
        </w:tc>
      </w:tr>
      <w:tr>
        <w:tc>
          <w:tcPr>
            <w:tcW w:type="dxa" w:w="4816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一句话卖点</w:t>
            </w:r>
          </w:p>
        </w:tc>
        <w:tc>
          <w:tcPr>
            <w:tcW w:type="dxa" w:w="4816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伪装成项目管理后台的职场轻策略游戏：在下班前处理随机项目危机，维持项目“全绿”。</w:t>
            </w:r>
          </w:p>
        </w:tc>
      </w:tr>
      <w:tr>
        <w:tc>
          <w:tcPr>
            <w:tcW w:type="dxa" w:w="4816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目标用户</w:t>
            </w:r>
          </w:p>
        </w:tc>
        <w:tc>
          <w:tcPr>
            <w:tcW w:type="dxa" w:w="4816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需要短暂放松的办公室人群、学生，以及喜欢职场梗和轻度决策游戏的玩家。</w:t>
            </w:r>
          </w:p>
        </w:tc>
      </w:tr>
      <w:tr>
        <w:tc>
          <w:tcPr>
            <w:tcW w:type="dxa" w:w="4816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平台</w:t>
            </w:r>
          </w:p>
        </w:tc>
        <w:tc>
          <w:tcPr>
            <w:tcW w:type="dxa" w:w="4816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优先 Web 浏览器；后续可封装为桌面端或微信小程序。</w:t>
            </w:r>
          </w:p>
        </w:tc>
      </w:tr>
      <w:tr>
        <w:tc>
          <w:tcPr>
            <w:tcW w:type="dxa" w:w="4816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单局时长</w:t>
            </w:r>
          </w:p>
        </w:tc>
        <w:tc>
          <w:tcPr>
            <w:tcW w:type="dxa" w:w="4816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3–5 分钟；支持随时停止、刷新或继续。</w:t>
            </w:r>
          </w:p>
        </w:tc>
      </w:tr>
      <w:tr>
        <w:tc>
          <w:tcPr>
            <w:tcW w:type="dxa" w:w="4816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视觉方向</w:t>
            </w:r>
          </w:p>
        </w:tc>
        <w:tc>
          <w:tcPr>
            <w:tcW w:type="dxa" w:w="4816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低调企业后台 / 项目看板 / 邮箱与表格混合界面，而非强游戏化画面。</w:t>
            </w:r>
          </w:p>
        </w:tc>
      </w:tr>
    </w:tbl>
    <w:p/>
    <w:p>
      <w:pPr>
        <w:pStyle w:val="Heading1"/>
      </w:pPr>
      <w:r>
        <w:t>二、核心体验</w:t>
      </w:r>
    </w:p>
    <w:p>
      <w:r>
        <w:t>玩家扮演“万象协同咨询”的项目专员。公司业务覆盖 ESG 传播、港股 IPO 财经公关、行业峰会、OA 流程改造和数字化项目。玩家面对不断出现的突发事件，在时间、预算、客户满意度与风险值之间做取舍。</w:t>
      </w:r>
    </w:p>
    <w:p>
      <w:r>
        <w:t>核心循环（保持不变）：随机事件出现 → 阅读情境 → 选择 2–3 个解决方案 → 四项数值变化 → 触发后续文本或结局。</w:t>
      </w:r>
    </w:p>
    <w:p>
      <w:r>
        <w:t>内容扩充原则：不增加移动、战斗、合成、建造、抽卡等新系统；只增加事件的数量、项目主题、角色语气、选择后果、连锁文本和结局包装。</w:t>
      </w:r>
    </w:p>
    <w:p>
      <w:pPr>
        <w:pStyle w:val="Heading1"/>
      </w:pPr>
      <w:r>
        <w:t>三、基础规则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3211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数值</w:t>
            </w:r>
          </w:p>
        </w:tc>
        <w:tc>
          <w:tcPr>
            <w:tcW w:type="dxa" w:w="3211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含义</w:t>
            </w:r>
          </w:p>
        </w:tc>
        <w:tc>
          <w:tcPr>
            <w:tcW w:type="dxa" w:w="3211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失败或警戒</w:t>
            </w:r>
          </w:p>
        </w:tc>
      </w:tr>
      <w:tr>
        <w:tc>
          <w:tcPr>
            <w:tcW w:type="dxa" w:w="3211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时间</w:t>
            </w:r>
          </w:p>
        </w:tc>
        <w:tc>
          <w:tcPr>
            <w:tcW w:type="dxa" w:w="3211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当天可用精力与交付窗口</w:t>
            </w:r>
          </w:p>
        </w:tc>
        <w:tc>
          <w:tcPr>
            <w:tcW w:type="dxa" w:w="3211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归零：项目延期</w:t>
            </w:r>
          </w:p>
        </w:tc>
      </w:tr>
      <w:tr>
        <w:tc>
          <w:tcPr>
            <w:tcW w:type="dxa" w:w="3211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预算</w:t>
            </w:r>
          </w:p>
        </w:tc>
        <w:tc>
          <w:tcPr>
            <w:tcW w:type="dxa" w:w="3211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可调动的项目资源</w:t>
            </w:r>
          </w:p>
        </w:tc>
        <w:tc>
          <w:tcPr>
            <w:tcW w:type="dxa" w:w="3211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为负：触发成本审查</w:t>
            </w:r>
          </w:p>
        </w:tc>
      </w:tr>
      <w:tr>
        <w:tc>
          <w:tcPr>
            <w:tcW w:type="dxa" w:w="3211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客户满意度</w:t>
            </w:r>
          </w:p>
        </w:tc>
        <w:tc>
          <w:tcPr>
            <w:tcW w:type="dxa" w:w="3211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客户对团队结果和沟通的认可</w:t>
            </w:r>
          </w:p>
        </w:tc>
        <w:tc>
          <w:tcPr>
            <w:tcW w:type="dxa" w:w="3211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过低：客户要求换负责人</w:t>
            </w:r>
          </w:p>
        </w:tc>
      </w:tr>
      <w:tr>
        <w:tc>
          <w:tcPr>
            <w:tcW w:type="dxa" w:w="3211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风险值</w:t>
            </w:r>
          </w:p>
        </w:tc>
        <w:tc>
          <w:tcPr>
            <w:tcW w:type="dxa" w:w="3211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数据、流程、舆情与合规事故的累积</w:t>
            </w:r>
          </w:p>
        </w:tc>
        <w:tc>
          <w:tcPr>
            <w:tcW w:type="dxa" w:w="3211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达到上限：项目翻车或被拦截</w:t>
            </w:r>
          </w:p>
        </w:tc>
      </w:tr>
    </w:tbl>
    <w:p/>
    <w:p>
      <w:r>
        <w:t>建议界面中将四项数值转译为“项目健康度”：绿色为稳定、黄色为预警、红色为危险；避免传统血条，使页面更像真实工作系统。</w:t>
      </w:r>
    </w:p>
    <w:p>
      <w:pPr>
        <w:pStyle w:val="Heading1"/>
      </w:pPr>
      <w:r>
        <w:t>四、项目内容包</w:t>
      </w:r>
    </w:p>
    <w:p>
      <w:r>
        <w:t>每局开始随机抽取一个项目包。项目包只改变事件池、角色称呼、文案和结局倾向，底层数值与操作方式完全一致。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3211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项目包</w:t>
            </w:r>
          </w:p>
        </w:tc>
        <w:tc>
          <w:tcPr>
            <w:tcW w:type="dxa" w:w="3211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背景设定</w:t>
            </w:r>
          </w:p>
        </w:tc>
        <w:tc>
          <w:tcPr>
            <w:tcW w:type="dxa" w:w="3211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重点事件</w:t>
            </w:r>
          </w:p>
        </w:tc>
      </w:tr>
      <w:tr>
        <w:tc>
          <w:tcPr>
            <w:tcW w:type="dxa" w:w="3211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ESG 报告冲刺</w:t>
            </w:r>
          </w:p>
        </w:tc>
        <w:tc>
          <w:tcPr>
            <w:tcW w:type="dxa" w:w="3211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为上市公司完成年度 ESG 报告或申奖材料</w:t>
            </w:r>
          </w:p>
        </w:tc>
        <w:tc>
          <w:tcPr>
            <w:tcW w:type="dxa" w:w="3211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碳数据口径、案例缺数据、供应商回复、定量表述</w:t>
            </w:r>
          </w:p>
        </w:tc>
      </w:tr>
      <w:tr>
        <w:tc>
          <w:tcPr>
            <w:tcW w:type="dxa" w:w="3211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港股 IPO 路演</w:t>
            </w:r>
          </w:p>
        </w:tc>
        <w:tc>
          <w:tcPr>
            <w:tcW w:type="dxa" w:w="3211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协助企业开展招股及投资者沟通</w:t>
            </w:r>
          </w:p>
        </w:tc>
        <w:tc>
          <w:tcPr>
            <w:tcW w:type="dxa" w:w="3211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招股书调整、基石投资者、媒体问询、估值预期</w:t>
            </w:r>
          </w:p>
        </w:tc>
      </w:tr>
      <w:tr>
        <w:tc>
          <w:tcPr>
            <w:tcW w:type="dxa" w:w="3211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百人行业峰会</w:t>
            </w:r>
          </w:p>
        </w:tc>
        <w:tc>
          <w:tcPr>
            <w:tcW w:type="dxa" w:w="3211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筹备大型线下会议和嘉宾接待</w:t>
            </w:r>
          </w:p>
        </w:tc>
        <w:tc>
          <w:tcPr>
            <w:tcW w:type="dxa" w:w="3211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专属签到码、座位表、嘉宾迟到、会场和物料</w:t>
            </w:r>
          </w:p>
        </w:tc>
      </w:tr>
      <w:tr>
        <w:tc>
          <w:tcPr>
            <w:tcW w:type="dxa" w:w="3211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绿色能源项目</w:t>
            </w:r>
          </w:p>
        </w:tc>
        <w:tc>
          <w:tcPr>
            <w:tcW w:type="dxa" w:w="3211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整理油气或制造企业绿色转型材料</w:t>
            </w:r>
          </w:p>
        </w:tc>
        <w:tc>
          <w:tcPr>
            <w:tcW w:type="dxa" w:w="3211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减排测算、光伏储能、现场数据、技术口径</w:t>
            </w:r>
          </w:p>
        </w:tc>
      </w:tr>
      <w:tr>
        <w:tc>
          <w:tcPr>
            <w:tcW w:type="dxa" w:w="3211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OA 流程改造</w:t>
            </w:r>
          </w:p>
        </w:tc>
        <w:tc>
          <w:tcPr>
            <w:tcW w:type="dxa" w:w="3211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为集团上线审批表单和流程系统</w:t>
            </w:r>
          </w:p>
        </w:tc>
        <w:tc>
          <w:tcPr>
            <w:tcW w:type="dxa" w:w="3211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权限错误、部门抵触、旧表单冲突、上线故障</w:t>
            </w:r>
          </w:p>
        </w:tc>
      </w:tr>
      <w:tr>
        <w:tc>
          <w:tcPr>
            <w:tcW w:type="dxa" w:w="3211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AI 数字化试点</w:t>
            </w:r>
          </w:p>
        </w:tc>
        <w:tc>
          <w:tcPr>
            <w:tcW w:type="dxa" w:w="3211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部署内部智能助手或数据平台</w:t>
            </w:r>
          </w:p>
        </w:tc>
        <w:tc>
          <w:tcPr>
            <w:tcW w:type="dxa" w:w="3211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数据安全、模型错误、领导演示、法务审核</w:t>
            </w:r>
          </w:p>
        </w:tc>
      </w:tr>
    </w:tbl>
    <w:p/>
    <w:p>
      <w:pPr>
        <w:pStyle w:val="Heading1"/>
      </w:pPr>
      <w:r>
        <w:t>五、角色设定</w:t>
      </w:r>
    </w:p>
    <w:p>
      <w:r>
        <w:t>角色不设好感度或独立养成，仅在事件中持续出现，让决策更有代入感。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3211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角色</w:t>
            </w:r>
          </w:p>
        </w:tc>
        <w:tc>
          <w:tcPr>
            <w:tcW w:type="dxa" w:w="3211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人物标签</w:t>
            </w:r>
          </w:p>
        </w:tc>
        <w:tc>
          <w:tcPr>
            <w:tcW w:type="dxa" w:w="3211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事件功能 / 常用语气</w:t>
            </w:r>
          </w:p>
        </w:tc>
      </w:tr>
      <w:tr>
        <w:tc>
          <w:tcPr>
            <w:tcW w:type="dxa" w:w="3211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林总</w:t>
            </w:r>
          </w:p>
        </w:tc>
        <w:tc>
          <w:tcPr>
            <w:tcW w:type="dxa" w:w="3211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高压型领导</w:t>
            </w:r>
          </w:p>
        </w:tc>
        <w:tc>
          <w:tcPr>
            <w:tcW w:type="dxa" w:w="3211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给高回报但时间紧的任务：“这个很简单，今晚能出吗？”</w:t>
            </w:r>
          </w:p>
        </w:tc>
      </w:tr>
      <w:tr>
        <w:tc>
          <w:tcPr>
            <w:tcW w:type="dxa" w:w="3211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客户张总</w:t>
            </w:r>
          </w:p>
        </w:tc>
        <w:tc>
          <w:tcPr>
            <w:tcW w:type="dxa" w:w="3211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结果导向甲方</w:t>
            </w:r>
          </w:p>
        </w:tc>
        <w:tc>
          <w:tcPr>
            <w:tcW w:type="dxa" w:w="3211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影响满意度：“过程不用讲，结果要有说服力。”</w:t>
            </w:r>
          </w:p>
        </w:tc>
      </w:tr>
      <w:tr>
        <w:tc>
          <w:tcPr>
            <w:tcW w:type="dxa" w:w="3211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财务小周</w:t>
            </w:r>
          </w:p>
        </w:tc>
        <w:tc>
          <w:tcPr>
            <w:tcW w:type="dxa" w:w="3211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预算守门人</w:t>
            </w:r>
          </w:p>
        </w:tc>
        <w:tc>
          <w:tcPr>
            <w:tcW w:type="dxa" w:w="3211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触发预算与报销事件：“没有合规单据，系统过不了。”</w:t>
            </w:r>
          </w:p>
        </w:tc>
      </w:tr>
      <w:tr>
        <w:tc>
          <w:tcPr>
            <w:tcW w:type="dxa" w:w="3211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技术阿哲</w:t>
            </w:r>
          </w:p>
        </w:tc>
        <w:tc>
          <w:tcPr>
            <w:tcW w:type="dxa" w:w="3211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直率技术骨干</w:t>
            </w:r>
          </w:p>
        </w:tc>
        <w:tc>
          <w:tcPr>
            <w:tcW w:type="dxa" w:w="3211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用时间换低风险方案：“能修，但别指望五分钟。”</w:t>
            </w:r>
          </w:p>
        </w:tc>
      </w:tr>
      <w:tr>
        <w:tc>
          <w:tcPr>
            <w:tcW w:type="dxa" w:w="3211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实习生小许</w:t>
            </w:r>
          </w:p>
        </w:tc>
        <w:tc>
          <w:tcPr>
            <w:tcW w:type="dxa" w:w="3211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热情新人</w:t>
            </w:r>
          </w:p>
        </w:tc>
        <w:tc>
          <w:tcPr>
            <w:tcW w:type="dxa" w:w="3211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提供随机正负反馈：“我已经帮你发出去了……”</w:t>
            </w:r>
          </w:p>
        </w:tc>
      </w:tr>
      <w:tr>
        <w:tc>
          <w:tcPr>
            <w:tcW w:type="dxa" w:w="3211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供应商王姐</w:t>
            </w:r>
          </w:p>
        </w:tc>
        <w:tc>
          <w:tcPr>
            <w:tcW w:type="dxa" w:w="3211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已读不回专家</w:t>
            </w:r>
          </w:p>
        </w:tc>
        <w:tc>
          <w:tcPr>
            <w:tcW w:type="dxa" w:w="3211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触发现场、物料、制作问题</w:t>
            </w:r>
          </w:p>
        </w:tc>
      </w:tr>
      <w:tr>
        <w:tc>
          <w:tcPr>
            <w:tcW w:type="dxa" w:w="3211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合规陈老师</w:t>
            </w:r>
          </w:p>
        </w:tc>
        <w:tc>
          <w:tcPr>
            <w:tcW w:type="dxa" w:w="3211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证据与口径专家</w:t>
            </w:r>
          </w:p>
        </w:tc>
        <w:tc>
          <w:tcPr>
            <w:tcW w:type="dxa" w:w="3211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降低风险但消耗时间：“这句话的依据是什么？”</w:t>
            </w:r>
          </w:p>
        </w:tc>
      </w:tr>
      <w:tr>
        <w:tc>
          <w:tcPr>
            <w:tcW w:type="dxa" w:w="3211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神秘甲方群</w:t>
            </w:r>
          </w:p>
        </w:tc>
        <w:tc>
          <w:tcPr>
            <w:tcW w:type="dxa" w:w="3211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沉默的群聊</w:t>
            </w:r>
          </w:p>
        </w:tc>
        <w:tc>
          <w:tcPr>
            <w:tcW w:type="dxa" w:w="3211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临近下班集中爆发，制造高随机事件</w:t>
            </w:r>
          </w:p>
        </w:tc>
      </w:tr>
    </w:tbl>
    <w:p/>
    <w:p>
      <w:pPr>
        <w:pStyle w:val="Heading1"/>
      </w:pPr>
      <w:r>
        <w:t>六、事件内容框架</w:t>
      </w:r>
    </w:p>
    <w:p>
      <w:r>
        <w:t>建议首版制作 80–120 条事件。单条事件包含：标题、背景文案、角色来源、2–3 个选项、各选项数值改动、可选的后续事件标记。</w:t>
      </w:r>
    </w:p>
    <w:p>
      <w:pPr>
        <w:pStyle w:val="Heading2"/>
      </w:pPr>
      <w:r>
        <w:t>事件分类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4816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类别</w:t>
            </w:r>
          </w:p>
        </w:tc>
        <w:tc>
          <w:tcPr>
            <w:tcW w:type="dxa" w:w="4816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可用素材方向</w:t>
            </w:r>
          </w:p>
        </w:tc>
      </w:tr>
      <w:tr>
        <w:tc>
          <w:tcPr>
            <w:tcW w:type="dxa" w:w="4816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时间压力</w:t>
            </w:r>
          </w:p>
        </w:tc>
        <w:tc>
          <w:tcPr>
            <w:tcW w:type="dxa" w:w="4816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五分钟短会、截止日提前、联系人失联、明早汇报、酒店进场时间不足</w:t>
            </w:r>
          </w:p>
        </w:tc>
      </w:tr>
      <w:tr>
        <w:tc>
          <w:tcPr>
            <w:tcW w:type="dxa" w:w="4816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预算冲突</w:t>
            </w:r>
          </w:p>
        </w:tc>
        <w:tc>
          <w:tcPr>
            <w:tcW w:type="dxa" w:w="4816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会场升级、视频加急、设计改稿、嘉宾交通、礼品和报销问题</w:t>
            </w:r>
          </w:p>
        </w:tc>
      </w:tr>
      <w:tr>
        <w:tc>
          <w:tcPr>
            <w:tcW w:type="dxa" w:w="4816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满意度管理</w:t>
            </w:r>
          </w:p>
        </w:tc>
        <w:tc>
          <w:tcPr>
            <w:tcW w:type="dxa" w:w="4816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客户要“更高级”、嘉宾头衔错误、CEO 要“有感觉”、董事长临时加环节</w:t>
            </w:r>
          </w:p>
        </w:tc>
      </w:tr>
      <w:tr>
        <w:tc>
          <w:tcPr>
            <w:tcW w:type="dxa" w:w="4816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风险与合规</w:t>
            </w:r>
          </w:p>
        </w:tc>
        <w:tc>
          <w:tcPr>
            <w:tcW w:type="dxa" w:w="4816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ESG 口径冲突、负面问询、二维码外泄、百分比错误、版权风险</w:t>
            </w:r>
          </w:p>
        </w:tc>
      </w:tr>
      <w:tr>
        <w:tc>
          <w:tcPr>
            <w:tcW w:type="dxa" w:w="4816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流程与系统</w:t>
            </w:r>
          </w:p>
        </w:tc>
        <w:tc>
          <w:tcPr>
            <w:tcW w:type="dxa" w:w="4816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OA 权限错误、签到名单不一致、系统上线故障、版本覆盖、数据未同步</w:t>
            </w:r>
          </w:p>
        </w:tc>
      </w:tr>
    </w:tbl>
    <w:p/>
    <w:p>
      <w:pPr>
        <w:pStyle w:val="Heading2"/>
      </w:pPr>
      <w:r>
        <w:t>示例事件</w:t>
      </w:r>
    </w:p>
    <w:p>
      <w:r>
        <w:t>事件：客户要求今晚补充“碳减排成效”，但业务部门只给出“效果显著”。</w:t>
      </w:r>
    </w:p>
    <w:p>
      <w:pPr>
        <w:pStyle w:val="ListBullet"/>
      </w:pPr>
      <w:r>
        <w:t>A. 坚持追要原始数据：时间 -2，风险 -2，客户满意度 -1。</w:t>
      </w:r>
    </w:p>
    <w:p>
      <w:pPr>
        <w:pStyle w:val="ListBullet"/>
      </w:pPr>
      <w:r>
        <w:t>B. 用定性表述先顶上：时间 -1，风险 +2，客户满意度 +1。</w:t>
      </w:r>
    </w:p>
    <w:p>
      <w:pPr>
        <w:pStyle w:val="ListBullet"/>
      </w:pPr>
      <w:r>
        <w:t>C. 参考行业数据并标注测算口径：时间 -1，预算 -1，风险 +1，客户满意度 +1。</w:t>
      </w:r>
    </w:p>
    <w:p>
      <w:r>
        <w:t>事件：参会嘉宾表示未收到专属签到码。</w:t>
      </w:r>
    </w:p>
    <w:p>
      <w:pPr>
        <w:pStyle w:val="ListBullet"/>
      </w:pPr>
      <w:r>
        <w:t>A. 现场人工核验名单：时间 -2，风险 -1。</w:t>
      </w:r>
    </w:p>
    <w:p>
      <w:pPr>
        <w:pStyle w:val="ListBullet"/>
      </w:pPr>
      <w:r>
        <w:t>B. 重新生成专属二维码：时间 -1，预算 -1，客户满意度 +1。</w:t>
      </w:r>
    </w:p>
    <w:p>
      <w:pPr>
        <w:pStyle w:val="ListBullet"/>
      </w:pPr>
      <w:r>
        <w:t>C. 先直接进场，稍后补登：时间 0，风险 +2。</w:t>
      </w:r>
    </w:p>
    <w:p>
      <w:r>
        <w:t>事件：老板称“客户已经基本认可方案”，但玩家发现对方没有任何书面回复。</w:t>
      </w:r>
    </w:p>
    <w:p>
      <w:pPr>
        <w:pStyle w:val="ListBullet"/>
      </w:pPr>
      <w:r>
        <w:t>A. 邮件二次确认：时间 -1，风险 -2。</w:t>
      </w:r>
    </w:p>
    <w:p>
      <w:pPr>
        <w:pStyle w:val="ListBullet"/>
      </w:pPr>
      <w:r>
        <w:t>B. 默认认可并推进：时间 0，风险 +2。</w:t>
      </w:r>
    </w:p>
    <w:p>
      <w:pPr>
        <w:pStyle w:val="ListBullet"/>
      </w:pPr>
      <w:r>
        <w:t>C. 群内礼貌 @ 客户：时间 -1，客户满意度 -1，风险 -1。</w:t>
      </w:r>
    </w:p>
    <w:p>
      <w:pPr>
        <w:pStyle w:val="Heading1"/>
      </w:pPr>
      <w:r>
        <w:t>七、连锁叙事</w:t>
      </w:r>
    </w:p>
    <w:p>
      <w:r>
        <w:t>连锁叙事不改变玩法，只根据此前选择替换或补充后续事件文本，让项目具有“记忆”。每条连锁仅需一个简单状态标记，例如 data_missing、qr_unverified、budget_cut。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4816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前置选择</w:t>
            </w:r>
          </w:p>
        </w:tc>
        <w:tc>
          <w:tcPr>
            <w:tcW w:type="dxa" w:w="4816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后续事件示例</w:t>
            </w:r>
          </w:p>
        </w:tc>
      </w:tr>
      <w:tr>
        <w:tc>
          <w:tcPr>
            <w:tcW w:type="dxa" w:w="4816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以定性表述替代数据</w:t>
            </w:r>
          </w:p>
        </w:tc>
        <w:tc>
          <w:tcPr>
            <w:tcW w:type="dxa" w:w="4816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客户反馈：“监管方希望看到具体数字。”</w:t>
            </w:r>
          </w:p>
        </w:tc>
      </w:tr>
      <w:tr>
        <w:tc>
          <w:tcPr>
            <w:tcW w:type="dxa" w:w="4816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签到先放行、稍后补登</w:t>
            </w:r>
          </w:p>
        </w:tc>
        <w:tc>
          <w:tcPr>
            <w:tcW w:type="dxa" w:w="4816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会后名单比现场人数少两位。</w:t>
            </w:r>
          </w:p>
        </w:tc>
      </w:tr>
      <w:tr>
        <w:tc>
          <w:tcPr>
            <w:tcW w:type="dxa" w:w="4816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多次压缩供应商预算</w:t>
            </w:r>
          </w:p>
        </w:tc>
        <w:tc>
          <w:tcPr>
            <w:tcW w:type="dxa" w:w="4816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供应商称只能按基础版本交付。</w:t>
            </w:r>
          </w:p>
        </w:tc>
      </w:tr>
      <w:tr>
        <w:tc>
          <w:tcPr>
            <w:tcW w:type="dxa" w:w="4816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持续优先满意度而忽略风险</w:t>
            </w:r>
          </w:p>
        </w:tc>
        <w:tc>
          <w:tcPr>
            <w:tcW w:type="dxa" w:w="4816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客户认可材料，但合规部门拒绝发布。</w:t>
            </w:r>
          </w:p>
        </w:tc>
      </w:tr>
      <w:tr>
        <w:tc>
          <w:tcPr>
            <w:tcW w:type="dxa" w:w="4816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多次选择流程或自动化方案</w:t>
            </w:r>
          </w:p>
        </w:tc>
        <w:tc>
          <w:tcPr>
            <w:tcW w:type="dxa" w:w="4816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系统自动生成核验表，节省一次时间成本。</w:t>
            </w:r>
          </w:p>
        </w:tc>
      </w:tr>
    </w:tbl>
    <w:p/>
    <w:p>
      <w:pPr>
        <w:pStyle w:val="Heading1"/>
      </w:pPr>
      <w:r>
        <w:t>八、每日主题</w:t>
      </w:r>
    </w:p>
    <w:p>
      <w:r>
        <w:t>每日主题用于为一局游戏提供明确语境。建议准备约 20 个主题，随机匹配项目包。</w:t>
      </w:r>
    </w:p>
    <w:p>
      <w:pPr>
        <w:pStyle w:val="ListBullet"/>
      </w:pPr>
      <w:r>
        <w:t>项目启动会</w:t>
      </w:r>
    </w:p>
    <w:p>
      <w:pPr>
        <w:pStyle w:val="ListBullet"/>
      </w:pPr>
      <w:r>
        <w:t>客户突然加需求</w:t>
      </w:r>
    </w:p>
    <w:p>
      <w:pPr>
        <w:pStyle w:val="ListBullet"/>
      </w:pPr>
      <w:r>
        <w:t>领导查看中期版本</w:t>
      </w:r>
    </w:p>
    <w:p>
      <w:pPr>
        <w:pStyle w:val="ListBullet"/>
      </w:pPr>
      <w:r>
        <w:t>供应商集体掉链子</w:t>
      </w:r>
    </w:p>
    <w:p>
      <w:pPr>
        <w:pStyle w:val="ListBullet"/>
      </w:pPr>
      <w:r>
        <w:t>下班前突击汇报</w:t>
      </w:r>
    </w:p>
    <w:p>
      <w:pPr>
        <w:pStyle w:val="ListBullet"/>
      </w:pPr>
      <w:r>
        <w:t>路演前 24 小时</w:t>
      </w:r>
    </w:p>
    <w:p>
      <w:pPr>
        <w:pStyle w:val="ListBullet"/>
      </w:pPr>
      <w:r>
        <w:t>年报披露倒计时</w:t>
      </w:r>
    </w:p>
    <w:p>
      <w:pPr>
        <w:pStyle w:val="ListBullet"/>
      </w:pPr>
      <w:r>
        <w:t>活动签到当天</w:t>
      </w:r>
    </w:p>
    <w:p>
      <w:pPr>
        <w:pStyle w:val="ListBullet"/>
      </w:pPr>
      <w:r>
        <w:t>监管问询来函</w:t>
      </w:r>
    </w:p>
    <w:p>
      <w:pPr>
        <w:pStyle w:val="ListBullet"/>
      </w:pPr>
      <w:r>
        <w:t>会后舆情发酵</w:t>
      </w:r>
    </w:p>
    <w:p>
      <w:pPr>
        <w:pStyle w:val="ListBullet"/>
      </w:pPr>
      <w:r>
        <w:t>项目预算被砍 30%</w:t>
      </w:r>
    </w:p>
    <w:p>
      <w:pPr>
        <w:pStyle w:val="ListBullet"/>
      </w:pPr>
      <w:r>
        <w:t>系统上线第一天</w:t>
      </w:r>
    </w:p>
    <w:p>
      <w:pPr>
        <w:pStyle w:val="ListBullet"/>
      </w:pPr>
      <w:r>
        <w:t>最后一个工作日</w:t>
      </w:r>
    </w:p>
    <w:p>
      <w:pPr>
        <w:pStyle w:val="Heading1"/>
      </w:pPr>
      <w:r>
        <w:t>九、结局与履历</w:t>
      </w:r>
    </w:p>
    <w:p>
      <w:r>
        <w:t>结局只根据现有四项数值、项目包和少量状态标记生成，不新增判定系统。首版可制作 12 个结局。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3211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结局</w:t>
            </w:r>
          </w:p>
        </w:tc>
        <w:tc>
          <w:tcPr>
            <w:tcW w:type="dxa" w:w="3211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触发倾向</w:t>
            </w:r>
          </w:p>
        </w:tc>
        <w:tc>
          <w:tcPr>
            <w:tcW w:type="dxa" w:w="3211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文本基调</w:t>
            </w:r>
          </w:p>
        </w:tc>
      </w:tr>
      <w:tr>
        <w:tc>
          <w:tcPr>
            <w:tcW w:type="dxa" w:w="3211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全绿交付</w:t>
            </w:r>
          </w:p>
        </w:tc>
        <w:tc>
          <w:tcPr>
            <w:tcW w:type="dxa" w:w="3211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四项数值整体优秀</w:t>
            </w:r>
          </w:p>
        </w:tc>
        <w:tc>
          <w:tcPr>
            <w:tcW w:type="dxa" w:w="3211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客户复盘认可，项目准时完成。</w:t>
            </w:r>
          </w:p>
        </w:tc>
      </w:tr>
      <w:tr>
        <w:tc>
          <w:tcPr>
            <w:tcW w:type="dxa" w:w="3211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带病上线</w:t>
            </w:r>
          </w:p>
        </w:tc>
        <w:tc>
          <w:tcPr>
            <w:tcW w:type="dxa" w:w="3211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满意度高、风险偏高</w:t>
            </w:r>
          </w:p>
        </w:tc>
        <w:tc>
          <w:tcPr>
            <w:tcW w:type="dxa" w:w="3211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结果漂亮，但隐患没有消失。</w:t>
            </w:r>
          </w:p>
        </w:tc>
      </w:tr>
      <w:tr>
        <w:tc>
          <w:tcPr>
            <w:tcW w:type="dxa" w:w="3211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成本控制大师</w:t>
            </w:r>
          </w:p>
        </w:tc>
        <w:tc>
          <w:tcPr>
            <w:tcW w:type="dxa" w:w="3211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预算充足、满意度一般</w:t>
            </w:r>
          </w:p>
        </w:tc>
        <w:tc>
          <w:tcPr>
            <w:tcW w:type="dxa" w:w="3211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项目未超支，但没有惊喜。</w:t>
            </w:r>
          </w:p>
        </w:tc>
      </w:tr>
      <w:tr>
        <w:tc>
          <w:tcPr>
            <w:tcW w:type="dxa" w:w="3211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危机公关新星</w:t>
            </w:r>
          </w:p>
        </w:tc>
        <w:tc>
          <w:tcPr>
            <w:tcW w:type="dxa" w:w="3211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风险接近上限仍通关</w:t>
            </w:r>
          </w:p>
        </w:tc>
        <w:tc>
          <w:tcPr>
            <w:tcW w:type="dxa" w:w="3211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没有解决一切，但阻止问题变成新闻。</w:t>
            </w:r>
          </w:p>
        </w:tc>
      </w:tr>
      <w:tr>
        <w:tc>
          <w:tcPr>
            <w:tcW w:type="dxa" w:w="3211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加班冠军</w:t>
            </w:r>
          </w:p>
        </w:tc>
        <w:tc>
          <w:tcPr>
            <w:tcW w:type="dxa" w:w="3211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时间长期低仍完成</w:t>
            </w:r>
          </w:p>
        </w:tc>
        <w:tc>
          <w:tcPr>
            <w:tcW w:type="dxa" w:w="3211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项目成功，工位绿植没有。</w:t>
            </w:r>
          </w:p>
        </w:tc>
      </w:tr>
      <w:tr>
        <w:tc>
          <w:tcPr>
            <w:tcW w:type="dxa" w:w="3211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项目延期</w:t>
            </w:r>
          </w:p>
        </w:tc>
        <w:tc>
          <w:tcPr>
            <w:tcW w:type="dxa" w:w="3211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时间归零</w:t>
            </w:r>
          </w:p>
        </w:tc>
        <w:tc>
          <w:tcPr>
            <w:tcW w:type="dxa" w:w="3211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项目进入无人愿意提及的“下一阶段”。</w:t>
            </w:r>
          </w:p>
        </w:tc>
      </w:tr>
      <w:tr>
        <w:tc>
          <w:tcPr>
            <w:tcW w:type="dxa" w:w="3211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客户换团队</w:t>
            </w:r>
          </w:p>
        </w:tc>
        <w:tc>
          <w:tcPr>
            <w:tcW w:type="dxa" w:w="3211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满意度归零</w:t>
            </w:r>
          </w:p>
        </w:tc>
        <w:tc>
          <w:tcPr>
            <w:tcW w:type="dxa" w:w="3211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得到一句：“大家都辛苦了。”</w:t>
            </w:r>
          </w:p>
        </w:tc>
      </w:tr>
      <w:tr>
        <w:tc>
          <w:tcPr>
            <w:tcW w:type="dxa" w:w="3211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合规拦截</w:t>
            </w:r>
          </w:p>
        </w:tc>
        <w:tc>
          <w:tcPr>
            <w:tcW w:type="dxa" w:w="3211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风险爆表</w:t>
            </w:r>
          </w:p>
        </w:tc>
        <w:tc>
          <w:tcPr>
            <w:tcW w:type="dxa" w:w="3211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发布前两小时，合规按下暂停键。</w:t>
            </w:r>
          </w:p>
        </w:tc>
      </w:tr>
      <w:tr>
        <w:tc>
          <w:tcPr>
            <w:tcW w:type="dxa" w:w="3211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自动化救场</w:t>
            </w:r>
          </w:p>
        </w:tc>
        <w:tc>
          <w:tcPr>
            <w:tcW w:type="dxa" w:w="3211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多次选择流程/技术方案</w:t>
            </w:r>
          </w:p>
        </w:tc>
        <w:tc>
          <w:tcPr>
            <w:tcW w:type="dxa" w:w="3211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把混乱沉淀为可复制流程。</w:t>
            </w:r>
          </w:p>
        </w:tc>
      </w:tr>
      <w:tr>
        <w:tc>
          <w:tcPr>
            <w:tcW w:type="dxa" w:w="3211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甲方内部推荐</w:t>
            </w:r>
          </w:p>
        </w:tc>
        <w:tc>
          <w:tcPr>
            <w:tcW w:type="dxa" w:w="3211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满意度极高</w:t>
            </w:r>
          </w:p>
        </w:tc>
        <w:tc>
          <w:tcPr>
            <w:tcW w:type="dxa" w:w="3211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客户介绍来一个“更紧急”的新项目。</w:t>
            </w:r>
          </w:p>
        </w:tc>
      </w:tr>
    </w:tbl>
    <w:p/>
    <w:p>
      <w:r>
        <w:t>通关后生成可截图的“年度项目履历”，只展示统计与趣味文案，例如：完成 ESG 披露项目 3 个、拯救临时会议 8 次、收到“简单改一下”消息 17 次、成功阻止数据口径事故 4 次。</w:t>
      </w:r>
    </w:p>
    <w:p>
      <w:r>
        <w:t>可配套称号：表格驯兽师、甲方读心术、截止日幸存者、流程救世主、合规守夜人。</w:t>
      </w:r>
    </w:p>
    <w:p>
      <w:pPr>
        <w:pStyle w:val="Heading1"/>
      </w:pPr>
      <w:r>
        <w:t>十、界面与文案</w:t>
      </w:r>
    </w:p>
    <w:p>
      <w:r>
        <w:t>界面核心目标是“低调像工作，细看才是游戏”。</w:t>
      </w:r>
    </w:p>
    <w:p>
      <w:pPr>
        <w:pStyle w:val="ListBullet"/>
      </w:pPr>
      <w:r>
        <w:t>左侧：项目列表，如“ESG 年报”“资本市场沟通”“年度峰会”。</w:t>
      </w:r>
    </w:p>
    <w:p>
      <w:pPr>
        <w:pStyle w:val="ListBullet"/>
      </w:pPr>
      <w:r>
        <w:t>中部：当前事件卡片、角色头像或消息来源、2–3 个决策按钮。</w:t>
      </w:r>
    </w:p>
    <w:p>
      <w:pPr>
        <w:pStyle w:val="ListBullet"/>
      </w:pPr>
      <w:r>
        <w:t>右侧：今日待办、项目健康度、虚拟群聊和未读消息。</w:t>
      </w:r>
    </w:p>
    <w:p>
      <w:pPr>
        <w:pStyle w:val="ListBullet"/>
      </w:pPr>
      <w:r>
        <w:t>底部：第几天、当前时间、距下班时间和自动保存状态。</w:t>
      </w:r>
    </w:p>
    <w:p>
      <w:pPr>
        <w:pStyle w:val="ListBullet"/>
      </w:pPr>
      <w:r>
        <w:t>彩蛋文件名：最终版.pptx、最终版_修改后.pptx、最终版_真的不改了.pptx、最终版_领导已看_客户未看.pptx。</w:t>
      </w:r>
    </w:p>
    <w:p>
      <w:pPr>
        <w:pStyle w:val="ListBullet"/>
      </w:pPr>
      <w:r>
        <w:t>状态文字：数据同步中、版本 V17 已保存、客户已读、正在等待供应商回复。</w:t>
      </w:r>
    </w:p>
    <w:p>
      <w:pPr>
        <w:pStyle w:val="Heading1"/>
      </w:pPr>
      <w:r>
        <w:t>十一、首版 MVP 范围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4816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模块</w:t>
            </w:r>
          </w:p>
        </w:tc>
        <w:tc>
          <w:tcPr>
            <w:tcW w:type="dxa" w:w="4816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首版建议数量</w:t>
            </w:r>
          </w:p>
        </w:tc>
      </w:tr>
      <w:tr>
        <w:tc>
          <w:tcPr>
            <w:tcW w:type="dxa" w:w="4816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项目包</w:t>
            </w:r>
          </w:p>
        </w:tc>
        <w:tc>
          <w:tcPr>
            <w:tcW w:type="dxa" w:w="4816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 个：ESG 报告、行业峰会、IPO 路演</w:t>
            </w:r>
          </w:p>
        </w:tc>
      </w:tr>
      <w:tr>
        <w:tc>
          <w:tcPr>
            <w:tcW w:type="dxa" w:w="4816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角色</w:t>
            </w:r>
          </w:p>
        </w:tc>
        <w:tc>
          <w:tcPr>
            <w:tcW w:type="dxa" w:w="4816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8 位固定角色</w:t>
            </w:r>
          </w:p>
        </w:tc>
      </w:tr>
      <w:tr>
        <w:tc>
          <w:tcPr>
            <w:tcW w:type="dxa" w:w="4816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普通事件</w:t>
            </w:r>
          </w:p>
        </w:tc>
        <w:tc>
          <w:tcPr>
            <w:tcW w:type="dxa" w:w="4816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60 条</w:t>
            </w:r>
          </w:p>
        </w:tc>
      </w:tr>
      <w:tr>
        <w:tc>
          <w:tcPr>
            <w:tcW w:type="dxa" w:w="4816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项目专属事件</w:t>
            </w:r>
          </w:p>
        </w:tc>
        <w:tc>
          <w:tcPr>
            <w:tcW w:type="dxa" w:w="4816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15 条</w:t>
            </w:r>
          </w:p>
        </w:tc>
      </w:tr>
      <w:tr>
        <w:tc>
          <w:tcPr>
            <w:tcW w:type="dxa" w:w="4816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连锁后续事件</w:t>
            </w:r>
          </w:p>
        </w:tc>
        <w:tc>
          <w:tcPr>
            <w:tcW w:type="dxa" w:w="4816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10 条</w:t>
            </w:r>
          </w:p>
        </w:tc>
      </w:tr>
      <w:tr>
        <w:tc>
          <w:tcPr>
            <w:tcW w:type="dxa" w:w="4816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每日主题</w:t>
            </w:r>
          </w:p>
        </w:tc>
        <w:tc>
          <w:tcPr>
            <w:tcW w:type="dxa" w:w="4816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13–20 个</w:t>
            </w:r>
          </w:p>
        </w:tc>
      </w:tr>
      <w:tr>
        <w:tc>
          <w:tcPr>
            <w:tcW w:type="dxa" w:w="4816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结局</w:t>
            </w:r>
          </w:p>
        </w:tc>
        <w:tc>
          <w:tcPr>
            <w:tcW w:type="dxa" w:w="4816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10–12 个</w:t>
            </w:r>
          </w:p>
        </w:tc>
      </w:tr>
      <w:tr>
        <w:tc>
          <w:tcPr>
            <w:tcW w:type="dxa" w:w="4816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称号</w:t>
            </w:r>
          </w:p>
        </w:tc>
        <w:tc>
          <w:tcPr>
            <w:tcW w:type="dxa" w:w="4816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10 个</w:t>
            </w:r>
          </w:p>
        </w:tc>
      </w:tr>
      <w:tr>
        <w:tc>
          <w:tcPr>
            <w:tcW w:type="dxa" w:w="4816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群聊消息与文件名彩蛋</w:t>
            </w:r>
          </w:p>
        </w:tc>
        <w:tc>
          <w:tcPr>
            <w:tcW w:type="dxa" w:w="4816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各 20 条左右</w:t>
            </w:r>
          </w:p>
        </w:tc>
      </w:tr>
    </w:tbl>
    <w:p/>
    <w:p>
      <w:pPr>
        <w:pStyle w:val="Heading1"/>
      </w:pPr>
      <w:r>
        <w:t>十二、实现建议</w:t>
      </w:r>
    </w:p>
    <w:p>
      <w:r>
        <w:t>技术上可用纯 HTML、CSS、JavaScript 实现单页 Demo；事件内容采用 JSON 配置，前端负责抽取事件、校验前置条件、修改四项数值、写入 localStorage 存档并展示结局。这样后续扩写内容时，无需改动核心逻辑。</w:t>
      </w:r>
    </w:p>
    <w:p>
      <w:r>
        <w:t>推荐的最小数据结构：eventId、projectTags、title、text、speaker、choices、effects、requires、setsFlags、followUpWeight。每个 choice 内记录 time、budget、satisfaction、risk 四项变化及可选 flag。</w:t>
      </w:r>
    </w:p>
    <w:p>
      <w:r>
        <w:t>开发顺序：先完成四项数值与事件选择 → 接入 20 条事件验证节奏 → 增加项目包与随机权重 → 增加连锁文本和结局 → 最后完善看板 UI、群聊、文件名和彩蛋。</w:t>
      </w:r>
    </w:p>
    <w:p>
      <w:pPr>
        <w:pStyle w:val="Heading1"/>
      </w:pPr>
      <w:r>
        <w:t>十三、验收标准</w:t>
      </w:r>
    </w:p>
    <w:p>
      <w:pPr>
        <w:pStyle w:val="ListBullet"/>
      </w:pPr>
      <w:r>
        <w:t>首次打开后，玩家可以在 10 秒内理解目标并完成第一项决策。</w:t>
      </w:r>
    </w:p>
    <w:p>
      <w:pPr>
        <w:pStyle w:val="ListBullet"/>
      </w:pPr>
      <w:r>
        <w:t>单局控制在 3–5 分钟，任意时刻刷新或关闭后可继续。</w:t>
      </w:r>
    </w:p>
    <w:p>
      <w:pPr>
        <w:pStyle w:val="ListBullet"/>
      </w:pPr>
      <w:r>
        <w:t>同一项目连续游玩 3 次，至少出现明显不同的事件组合或结局。</w:t>
      </w:r>
    </w:p>
    <w:p>
      <w:pPr>
        <w:pStyle w:val="ListBullet"/>
      </w:pPr>
      <w:r>
        <w:t>所有选择均只影响既定四项数值或后续文本，不引入额外复杂操作。</w:t>
      </w:r>
    </w:p>
    <w:p>
      <w:pPr>
        <w:pStyle w:val="ListBullet"/>
      </w:pPr>
      <w:r>
        <w:t>页面视觉上符合“办公后台”风格，适合低调地在浏览器中打开。</w:t>
      </w:r>
    </w:p>
    <w:sectPr w:rsidR="00FC693F" w:rsidRPr="0006063C" w:rsidSect="00034616">
      <w:pgSz w:w="12240" w:h="15840"/>
      <w:pgMar w:top="1247" w:right="1304" w:bottom="1247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7373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