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
      </w:pPr>
      <w:r>
        <w:t xml:space="preserve">DataFe</w:t>
      </w:r>
    </w:p>
    <w:p>
      <w:pPr>
        <w:spacing w:after="40"/>
      </w:pPr>
      <w:r>
        <w:rPr>
          <w:color w:val="475569"/>
          <w:sz w:val="28"/>
          <w:szCs w:val="28"/>
        </w:rPr>
        <w:t xml:space="preserve">Brand Guidelines</w:t>
      </w:r>
    </w:p>
    <w:p>
      <w:pPr>
        <w:spacing w:after="320"/>
      </w:pPr>
      <w:r>
        <w:rPr>
          <w:i/>
          <w:iCs/>
          <w:color w:val="475569"/>
          <w:sz w:val="20"/>
          <w:szCs w:val="20"/>
        </w:rPr>
        <w:t xml:space="preserve">Revised July 2026 — logo and color system updated to the seal mark</w:t>
      </w:r>
    </w:p>
    <w:p>
      <w:pPr>
        <w:pStyle w:val="Heading1"/>
        <w:spacing w:after="160" w:before="320"/>
      </w:pPr>
      <w:r>
        <w:t xml:space="preserve">1. Name &amp; Story</w:t>
      </w:r>
    </w:p>
    <w:p>
      <w:pPr>
        <w:spacing w:after="160"/>
      </w:pPr>
      <w:r>
        <w:t xml:space="preserve">The name "DataFe" combines "fe" (Spanish/Portuguese for "faith") with "Data": have faith in your data. As of this revision, the mark itself carries a second, more literal layer of meaning — it's a governed seal, not a play on the periodic table.</w:t>
      </w:r>
    </w:p>
    <w:p>
      <w:pPr>
        <w:spacing w:after="160"/>
      </w:pPr>
      <w:r>
        <w:t xml:space="preserve">Always write the product name as one word, DataFe — capital D, capital F, no space, no hyphen. Not Data Fe, not datafe (except where a URL or code identifier forces lowercase, e.g. datafetech.com).</w:t>
      </w:r>
    </w:p>
    <w:p>
      <w:pPr>
        <w:spacing w:after="160"/>
      </w:pPr>
      <w:r>
        <w:rPr>
          <w:b/>
          <w:bCs/>
        </w:rPr>
        <w:t xml:space="preserve">Known gap: </w:t>
      </w:r>
      <w:r>
        <w:t xml:space="preserve">the GitHub repository is still literally named "ichnos" — DataFe's working name before the rebrand. The product and all customer-facing surfaces are DataFe throughout; only the repo URL itself hasn't been renamed yet (tracked in docs/13_Roadmap.md backlog).</w:t>
      </w:r>
    </w:p>
    <w:p>
      <w:pPr>
        <w:pStyle w:val="Heading1"/>
        <w:spacing w:after="160" w:before="320"/>
      </w:pPr>
      <w:r>
        <w:t xml:space="preserve">2. Logo</w:t>
      </w:r>
    </w:p>
    <w:p>
      <w:pPr>
        <w:spacing w:after="160"/>
      </w:pPr>
      <w:r>
        <w:t xml:space="preserve">The mark is a seal: a navy disc, ringed by four capability-colored arcs, around a plain white square at the centre. The four arcs are not decorative — they are the product's four pillars, each in its own color, so the mark itself functions as a small legend:</w:t>
      </w:r>
    </w:p>
    <w:p>
      <w:pPr>
        <w:pStyle w:val="ListParagraph"/>
        <w:numPr>
          <w:ilvl w:val="0"/>
          <w:numId w:val="2"/>
        </w:numPr>
        <w:spacing w:after="80"/>
      </w:pPr>
      <w:r>
        <w:rPr>
          <w:b/>
          <w:bCs/>
        </w:rPr>
        <w:t xml:space="preserve">Top-right, purple</w:t>
      </w:r>
      <w:r>
        <w:t xml:space="preserve"> — Metadata intelligence &amp; catalog</w:t>
      </w:r>
    </w:p>
    <w:p>
      <w:pPr>
        <w:pStyle w:val="ListParagraph"/>
        <w:numPr>
          <w:ilvl w:val="0"/>
          <w:numId w:val="2"/>
        </w:numPr>
        <w:spacing w:after="80"/>
      </w:pPr>
      <w:r>
        <w:rPr>
          <w:b/>
          <w:bCs/>
        </w:rPr>
        <w:t xml:space="preserve">Bottom-right, blue</w:t>
      </w:r>
      <w:r>
        <w:t xml:space="preserve"> — Lineage</w:t>
      </w:r>
    </w:p>
    <w:p>
      <w:pPr>
        <w:pStyle w:val="ListParagraph"/>
        <w:numPr>
          <w:ilvl w:val="0"/>
          <w:numId w:val="2"/>
        </w:numPr>
        <w:spacing w:after="80"/>
      </w:pPr>
      <w:r>
        <w:rPr>
          <w:b/>
          <w:bCs/>
        </w:rPr>
        <w:t xml:space="preserve">Bottom-left, cyan</w:t>
      </w:r>
      <w:r>
        <w:t xml:space="preserve"> — Data quality</w:t>
      </w:r>
    </w:p>
    <w:p>
      <w:pPr>
        <w:pStyle w:val="ListParagraph"/>
        <w:numPr>
          <w:ilvl w:val="0"/>
          <w:numId w:val="2"/>
        </w:numPr>
        <w:spacing w:after="80"/>
      </w:pPr>
      <w:r>
        <w:rPr>
          <w:b/>
          <w:bCs/>
        </w:rPr>
        <w:t xml:space="preserve">Top-left, teal</w:t>
      </w:r>
      <w:r>
        <w:t xml:space="preserve"> — Governance</w:t>
      </w:r>
    </w:p>
    <w:p>
      <w:pPr>
        <w:spacing w:after="160"/>
      </w:pPr>
      <w:r>
        <w:t xml:space="preserve">The centre square is the data asset itself — plain, ungoverned-looking on its own — sitting inside the ring of capabilities that govern it. See </w:t>
      </w:r>
      <w:r>
        <w:rPr>
          <w:rFonts w:ascii="Consolas" w:cs="Consolas" w:eastAsia="Consolas" w:hAnsi="Consolas"/>
          <w:sz w:val="20"/>
          <w:szCs w:val="20"/>
        </w:rPr>
        <w:t xml:space="preserve">frontend/src/components/DataFeLogo.tsx</w:t>
      </w:r>
      <w:r>
        <w:t xml:space="preserve"> for the canonical SVG (light and dark variants), kept in sync with </w:t>
      </w:r>
      <w:r>
        <w:rPr>
          <w:rFonts w:ascii="Consolas" w:cs="Consolas" w:eastAsia="Consolas" w:hAnsi="Consolas"/>
          <w:sz w:val="20"/>
          <w:szCs w:val="20"/>
        </w:rPr>
        <w:t xml:space="preserve">website/index.html</w:t>
      </w:r>
      <w:r>
        <w:t xml:space="preserve">, </w:t>
      </w:r>
      <w:r>
        <w:rPr>
          <w:rFonts w:ascii="Consolas" w:cs="Consolas" w:eastAsia="Consolas" w:hAnsi="Consolas"/>
          <w:sz w:val="20"/>
          <w:szCs w:val="20"/>
        </w:rPr>
        <w:t xml:space="preserve">frontend/public/site.html</w:t>
      </w:r>
      <w:r>
        <w:t xml:space="preserve">, </w:t>
      </w:r>
      <w:r>
        <w:rPr>
          <w:rFonts w:ascii="Consolas" w:cs="Consolas" w:eastAsia="Consolas" w:hAnsi="Consolas"/>
          <w:sz w:val="20"/>
          <w:szCs w:val="20"/>
        </w:rPr>
        <w:t xml:space="preserve">frontend/public/favicon.svg</w:t>
      </w:r>
      <w:r>
        <w:t xml:space="preserve">, and </w:t>
      </w:r>
      <w:r>
        <w:rPr>
          <w:rFonts w:ascii="Consolas" w:cs="Consolas" w:eastAsia="Consolas" w:hAnsi="Consolas"/>
          <w:sz w:val="20"/>
          <w:szCs w:val="20"/>
        </w:rPr>
        <w:t xml:space="preserve">frontend/src/app/icon.svg</w:t>
      </w:r>
      <w:r>
        <w:t xml:space="preserve"> so every surface shows one logo, not several drifted copies.</w:t>
      </w:r>
    </w:p>
    <w:p>
      <w:pPr>
        <w:pStyle w:val="Heading2"/>
        <w:spacing w:after="120" w:before="260"/>
      </w:pPr>
      <w:r>
        <w:t xml:space="preserve">Small-size fallback</w:t>
      </w:r>
    </w:p>
    <w:p>
      <w:pPr>
        <w:spacing w:after="160"/>
      </w:pPr>
      <w:r>
        <w:t xml:space="preserve">Below roughly 32px, the four arcs blur into a single band and the gaps between them fill in. Rather than render an illegible smear, the mark switches to a single cyan ring (#22D3EE, a brighter tint of the quality color) around the same centre square. This is the version used for the favicon and any inline mark under ~32px — not a simplification to reach for by eye, it's a hard swap at a fixed threshold.</w:t>
      </w:r>
    </w:p>
    <w:p>
      <w:pPr>
        <w:pStyle w:val="Heading2"/>
        <w:spacing w:after="120" w:before="260"/>
      </w:pPr>
      <w:r>
        <w:t xml:space="preserve">Usage rules</w:t>
      </w:r>
    </w:p>
    <w:p>
      <w:pPr>
        <w:pStyle w:val="ListParagraph"/>
        <w:numPr>
          <w:ilvl w:val="0"/>
          <w:numId w:val="2"/>
        </w:numPr>
        <w:spacing w:after="80"/>
      </w:pPr>
      <w:r>
        <w:t xml:space="preserve">Never recolor the disc or arcs, even to match a page's color scheme.</w:t>
      </w:r>
    </w:p>
    <w:p>
      <w:pPr>
        <w:pStyle w:val="ListParagraph"/>
        <w:numPr>
          <w:ilvl w:val="0"/>
          <w:numId w:val="2"/>
        </w:numPr>
        <w:spacing w:after="80"/>
      </w:pPr>
      <w:r>
        <w:t xml:space="preserve">Never stretch or skew — it's always a 1:1 square (viewBox 0 0 64 64).</w:t>
      </w:r>
    </w:p>
    <w:p>
      <w:pPr>
        <w:pStyle w:val="ListParagraph"/>
        <w:numPr>
          <w:ilvl w:val="0"/>
          <w:numId w:val="2"/>
        </w:numPr>
        <w:spacing w:after="80"/>
      </w:pPr>
      <w:r>
        <w:t xml:space="preserve">Keep clear space around the mark at least equal to the centre square's own width.</w:t>
      </w:r>
    </w:p>
    <w:p>
      <w:pPr>
        <w:pStyle w:val="ListParagraph"/>
        <w:numPr>
          <w:ilvl w:val="0"/>
          <w:numId w:val="2"/>
        </w:numPr>
        <w:spacing w:after="80"/>
      </w:pPr>
      <w:r>
        <w:t xml:space="preserve">On a dark background, use the dark-variant colors (light disc, dark centre square, deepened capability arcs) rather than forcing the light-mode version onto dark — see the variant prop on DataFeMark.</w:t>
      </w:r>
    </w:p>
    <w:p>
      <w:pPr>
        <w:pStyle w:val="ListParagraph"/>
        <w:numPr>
          <w:ilvl w:val="0"/>
          <w:numId w:val="2"/>
        </w:numPr>
        <w:spacing w:after="80"/>
      </w:pPr>
      <w:r>
        <w:t xml:space="preserve">Minimum size: 20px on screen, and only using the small-size single-ring fallback below 32px.</w:t>
      </w:r>
    </w:p>
    <w:p>
      <w:pPr>
        <w:pStyle w:val="Heading1"/>
        <w:spacing w:after="160" w:before="320"/>
      </w:pPr>
      <w:r>
        <w:t xml:space="preserve">3. Color Palette</w:t>
      </w:r>
    </w:p>
    <w:p>
      <w:pPr>
        <w:spacing w:after="160"/>
      </w:pPr>
      <w:r>
        <w:t xml:space="preserve">The palette is deliberately cool-toned end to end (navy, purple, blue, cyan, teal) so none of the four capability colors is ever mistaken for one of the three status colors used elsewhere in the product UI. Status colors are reserved and never reused as decorative accents.</w:t>
      </w:r>
    </w:p>
    <w:p>
      <w:pPr>
        <w:pStyle w:val="Heading2"/>
        <w:spacing w:after="120" w:before="260"/>
      </w:pPr>
      <w:r>
        <w:t xml:space="preserve">Base tokens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00"/>
        <w:gridCol w:w="6250"/>
      </w:tblGrid>
      <w:tr>
        <w:tc>
          <w:tcPr>
            <w:tcW w:type="dxa" w:w="3100"/>
            <w:shd w:fill="F1F5F9" w:val="clear"/>
          </w:tcPr>
          <w:p>
            <w:pPr>
              <w:spacing w:after="160"/>
            </w:pPr>
            <w:r>
              <w:rPr>
                <w:b/>
                <w:bCs/>
              </w:rPr>
              <w:t xml:space="preserve">Color</w:t>
            </w:r>
          </w:p>
        </w:tc>
        <w:tc>
          <w:tcPr>
            <w:tcW w:type="dxa" w:w="6250"/>
            <w:shd w:fill="F1F5F9" w:val="clear"/>
          </w:tcPr>
          <w:p>
            <w:pPr>
              <w:spacing w:after="160"/>
            </w:pPr>
            <w:r>
              <w:rPr>
                <w:b/>
                <w:bCs/>
              </w:rPr>
              <w:t xml:space="preserve">Role</w:t>
            </w:r>
          </w:p>
        </w:tc>
      </w:tr>
      <w:tr>
        <w:tc>
          <w:tcPr>
            <w:tcW w:type="dxa" w:w="3100"/>
            <w:shd w:fill="FFFFFF" w:val="clear"/>
          </w:tcPr>
          <w:p>
            <w:r>
              <w:rPr>
                <w:color w:val="0F172A"/>
                <w:sz w:val="28"/>
                <w:szCs w:val="28"/>
              </w:rPr>
              <w:t xml:space="preserve">■ </w:t>
            </w:r>
            <w:r>
              <w:rPr>
                <w:b/>
                <w:bCs/>
              </w:rPr>
              <w:t xml:space="preserve">Navy ink</w:t>
            </w:r>
          </w:p>
          <w:p>
            <w:r>
              <w:rPr>
                <w:rFonts w:ascii="Consolas" w:cs="Consolas" w:eastAsia="Consolas" w:hAnsi="Consolas"/>
                <w:sz w:val="20"/>
                <w:szCs w:val="20"/>
              </w:rPr>
              <w:t xml:space="preserve">0F172A</w:t>
            </w:r>
          </w:p>
        </w:tc>
        <w:tc>
          <w:tcPr>
            <w:tcW w:type="dxa" w:w="6250"/>
          </w:tcPr>
          <w:p>
            <w:pPr>
              <w:spacing w:after="160"/>
            </w:pPr>
            <w:r>
              <w:t xml:space="preserve">Primary text; disc fill in the logo; dark backgrounds/header.</w:t>
            </w:r>
          </w:p>
        </w:tc>
      </w:tr>
      <w:tr>
        <w:tc>
          <w:tcPr>
            <w:tcW w:type="dxa" w:w="3100"/>
            <w:shd w:fill="FFFFFF" w:val="clear"/>
          </w:tcPr>
          <w:p>
            <w:r>
              <w:rPr>
                <w:color w:val="475569"/>
                <w:sz w:val="28"/>
                <w:szCs w:val="28"/>
              </w:rPr>
              <w:t xml:space="preserve">■ </w:t>
            </w:r>
            <w:r>
              <w:rPr>
                <w:b/>
                <w:bCs/>
              </w:rPr>
              <w:t xml:space="preserve">Muted</w:t>
            </w:r>
          </w:p>
          <w:p>
            <w:r>
              <w:rPr>
                <w:rFonts w:ascii="Consolas" w:cs="Consolas" w:eastAsia="Consolas" w:hAnsi="Consolas"/>
                <w:sz w:val="20"/>
                <w:szCs w:val="20"/>
              </w:rPr>
              <w:t xml:space="preserve">475569</w:t>
            </w:r>
          </w:p>
        </w:tc>
        <w:tc>
          <w:tcPr>
            <w:tcW w:type="dxa" w:w="6250"/>
          </w:tcPr>
          <w:p>
            <w:pPr>
              <w:spacing w:after="160"/>
            </w:pPr>
            <w:r>
              <w:t xml:space="preserve">Secondary/de-emphasized text.</w:t>
            </w:r>
          </w:p>
        </w:tc>
      </w:tr>
      <w:tr>
        <w:tc>
          <w:tcPr>
            <w:tcW w:type="dxa" w:w="3100"/>
            <w:shd w:fill="FFFFFF" w:val="clear"/>
          </w:tcPr>
          <w:p>
            <w:r>
              <w:rPr>
                <w:color w:val="E2E8F0"/>
                <w:sz w:val="28"/>
                <w:szCs w:val="28"/>
              </w:rPr>
              <w:t xml:space="preserve">■ </w:t>
            </w:r>
            <w:r>
              <w:rPr>
                <w:b/>
                <w:bCs/>
              </w:rPr>
              <w:t xml:space="preserve">Line</w:t>
            </w:r>
          </w:p>
          <w:p>
            <w:r>
              <w:rPr>
                <w:rFonts w:ascii="Consolas" w:cs="Consolas" w:eastAsia="Consolas" w:hAnsi="Consolas"/>
                <w:sz w:val="20"/>
                <w:szCs w:val="20"/>
              </w:rPr>
              <w:t xml:space="preserve">E2E8F0</w:t>
            </w:r>
          </w:p>
        </w:tc>
        <w:tc>
          <w:tcPr>
            <w:tcW w:type="dxa" w:w="6250"/>
          </w:tcPr>
          <w:p>
            <w:pPr>
              <w:spacing w:after="160"/>
            </w:pPr>
            <w:r>
              <w:t xml:space="preserve">Borders, dividers, subtle separators.</w:t>
            </w:r>
          </w:p>
        </w:tc>
      </w:tr>
      <w:tr>
        <w:tc>
          <w:tcPr>
            <w:tcW w:type="dxa" w:w="3100"/>
            <w:shd w:fill="FFFFFF" w:val="clear"/>
          </w:tcPr>
          <w:p>
            <w:r>
              <w:rPr>
                <w:color w:val="F8FAFC"/>
                <w:sz w:val="28"/>
                <w:szCs w:val="28"/>
              </w:rPr>
              <w:t xml:space="preserve">■ </w:t>
            </w:r>
            <w:r>
              <w:rPr>
                <w:b/>
                <w:bCs/>
              </w:rPr>
              <w:t xml:space="preserve">Surface</w:t>
            </w:r>
          </w:p>
          <w:p>
            <w:r>
              <w:rPr>
                <w:rFonts w:ascii="Consolas" w:cs="Consolas" w:eastAsia="Consolas" w:hAnsi="Consolas"/>
                <w:sz w:val="20"/>
                <w:szCs w:val="20"/>
              </w:rPr>
              <w:t xml:space="preserve">F8FAFC</w:t>
            </w:r>
          </w:p>
        </w:tc>
        <w:tc>
          <w:tcPr>
            <w:tcW w:type="dxa" w:w="6250"/>
          </w:tcPr>
          <w:p>
            <w:pPr>
              <w:spacing w:after="160"/>
            </w:pPr>
            <w:r>
              <w:t xml:space="preserve">Primary page background.</w:t>
            </w:r>
          </w:p>
        </w:tc>
      </w:tr>
    </w:tbl>
    <w:p>
      <w:pPr>
        <w:pStyle w:val="Heading2"/>
        <w:spacing w:after="120" w:before="260"/>
      </w:pPr>
      <w:r>
        <w:t xml:space="preserve">Capability colors (used in the logo + feature theming)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00"/>
        <w:gridCol w:w="6250"/>
      </w:tblGrid>
      <w:tr>
        <w:tc>
          <w:tcPr>
            <w:tcW w:type="dxa" w:w="3100"/>
            <w:shd w:fill="F1F5F9" w:val="clear"/>
          </w:tcPr>
          <w:p>
            <w:pPr>
              <w:spacing w:after="160"/>
            </w:pPr>
            <w:r>
              <w:rPr>
                <w:b/>
                <w:bCs/>
              </w:rPr>
              <w:t xml:space="preserve">Color</w:t>
            </w:r>
          </w:p>
        </w:tc>
        <w:tc>
          <w:tcPr>
            <w:tcW w:type="dxa" w:w="6250"/>
            <w:shd w:fill="F1F5F9" w:val="clear"/>
          </w:tcPr>
          <w:p>
            <w:pPr>
              <w:spacing w:after="160"/>
            </w:pPr>
            <w:r>
              <w:rPr>
                <w:b/>
                <w:bCs/>
              </w:rPr>
              <w:t xml:space="preserve">Role</w:t>
            </w:r>
          </w:p>
        </w:tc>
      </w:tr>
      <w:tr>
        <w:tc>
          <w:tcPr>
            <w:tcW w:type="dxa" w:w="3100"/>
            <w:shd w:fill="FFFFFF" w:val="clear"/>
          </w:tcPr>
          <w:p>
            <w:r>
              <w:rPr>
                <w:color w:val="8B5CF6"/>
                <w:sz w:val="28"/>
                <w:szCs w:val="28"/>
              </w:rPr>
              <w:t xml:space="preserve">■ </w:t>
            </w:r>
            <w:r>
              <w:rPr>
                <w:b/>
                <w:bCs/>
              </w:rPr>
              <w:t xml:space="preserve">Metadata (purple)</w:t>
            </w:r>
          </w:p>
          <w:p>
            <w:r>
              <w:rPr>
                <w:rFonts w:ascii="Consolas" w:cs="Consolas" w:eastAsia="Consolas" w:hAnsi="Consolas"/>
                <w:sz w:val="20"/>
                <w:szCs w:val="20"/>
              </w:rPr>
              <w:t xml:space="preserve">8B5CF6</w:t>
            </w:r>
          </w:p>
        </w:tc>
        <w:tc>
          <w:tcPr>
            <w:tcW w:type="dxa" w:w="6250"/>
          </w:tcPr>
          <w:p>
            <w:pPr>
              <w:spacing w:after="160"/>
            </w:pPr>
            <w:r>
              <w:t xml:space="preserve">Catalog &amp; discovery — top-right arc of the seal.</w:t>
            </w:r>
          </w:p>
        </w:tc>
      </w:tr>
      <w:tr>
        <w:tc>
          <w:tcPr>
            <w:tcW w:type="dxa" w:w="3100"/>
            <w:shd w:fill="FFFFFF" w:val="clear"/>
          </w:tcPr>
          <w:p>
            <w:r>
              <w:rPr>
                <w:color w:val="3B82F6"/>
                <w:sz w:val="28"/>
                <w:szCs w:val="28"/>
              </w:rPr>
              <w:t xml:space="preserve">■ </w:t>
            </w:r>
            <w:r>
              <w:rPr>
                <w:b/>
                <w:bCs/>
              </w:rPr>
              <w:t xml:space="preserve">Lineage (blue)</w:t>
            </w:r>
          </w:p>
          <w:p>
            <w:r>
              <w:rPr>
                <w:rFonts w:ascii="Consolas" w:cs="Consolas" w:eastAsia="Consolas" w:hAnsi="Consolas"/>
                <w:sz w:val="20"/>
                <w:szCs w:val="20"/>
              </w:rPr>
              <w:t xml:space="preserve">3B82F6</w:t>
            </w:r>
          </w:p>
        </w:tc>
        <w:tc>
          <w:tcPr>
            <w:tcW w:type="dxa" w:w="6250"/>
          </w:tcPr>
          <w:p>
            <w:pPr>
              <w:spacing w:after="160"/>
            </w:pPr>
            <w:r>
              <w:t xml:space="preserve">Lineage &amp; dependency mapping — bottom-right arc.</w:t>
            </w:r>
          </w:p>
        </w:tc>
      </w:tr>
      <w:tr>
        <w:tc>
          <w:tcPr>
            <w:tcW w:type="dxa" w:w="3100"/>
            <w:shd w:fill="FFFFFF" w:val="clear"/>
          </w:tcPr>
          <w:p>
            <w:r>
              <w:rPr>
                <w:color w:val="06B6D4"/>
                <w:sz w:val="28"/>
                <w:szCs w:val="28"/>
              </w:rPr>
              <w:t xml:space="preserve">■ </w:t>
            </w:r>
            <w:r>
              <w:rPr>
                <w:b/>
                <w:bCs/>
              </w:rPr>
              <w:t xml:space="preserve">Quality (cyan)</w:t>
            </w:r>
          </w:p>
          <w:p>
            <w:r>
              <w:rPr>
                <w:rFonts w:ascii="Consolas" w:cs="Consolas" w:eastAsia="Consolas" w:hAnsi="Consolas"/>
                <w:sz w:val="20"/>
                <w:szCs w:val="20"/>
              </w:rPr>
              <w:t xml:space="preserve">06B6D4</w:t>
            </w:r>
          </w:p>
        </w:tc>
        <w:tc>
          <w:tcPr>
            <w:tcW w:type="dxa" w:w="6250"/>
          </w:tcPr>
          <w:p>
            <w:pPr>
              <w:spacing w:after="160"/>
            </w:pPr>
            <w:r>
              <w:t xml:space="preserve">Data quality &amp; profiling — bottom-left arc; also the small-size single-ring mark.</w:t>
            </w:r>
          </w:p>
        </w:tc>
      </w:tr>
      <w:tr>
        <w:tc>
          <w:tcPr>
            <w:tcW w:type="dxa" w:w="3100"/>
            <w:shd w:fill="FFFFFF" w:val="clear"/>
          </w:tcPr>
          <w:p>
            <w:r>
              <w:rPr>
                <w:color w:val="0D9488"/>
                <w:sz w:val="28"/>
                <w:szCs w:val="28"/>
              </w:rPr>
              <w:t xml:space="preserve">■ </w:t>
            </w:r>
            <w:r>
              <w:rPr>
                <w:b/>
                <w:bCs/>
              </w:rPr>
              <w:t xml:space="preserve">Governance (teal)</w:t>
            </w:r>
          </w:p>
          <w:p>
            <w:r>
              <w:rPr>
                <w:rFonts w:ascii="Consolas" w:cs="Consolas" w:eastAsia="Consolas" w:hAnsi="Consolas"/>
                <w:sz w:val="20"/>
                <w:szCs w:val="20"/>
              </w:rPr>
              <w:t xml:space="preserve">0D9488</w:t>
            </w:r>
          </w:p>
        </w:tc>
        <w:tc>
          <w:tcPr>
            <w:tcW w:type="dxa" w:w="6250"/>
          </w:tcPr>
          <w:p>
            <w:pPr>
              <w:spacing w:after="160"/>
            </w:pPr>
            <w:r>
              <w:t xml:space="preserve">Governance, glossary, risk &amp; control — top-left arc; also the teal half of the wordmark.</w:t>
            </w:r>
          </w:p>
        </w:tc>
      </w:tr>
    </w:tbl>
    <w:p>
      <w:pPr>
        <w:pStyle w:val="Heading2"/>
        <w:spacing w:after="120" w:before="260"/>
      </w:pPr>
      <w:r>
        <w:t xml:space="preserve">Status colors (reserved — pass / warn / fail only, never decorative)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00"/>
        <w:gridCol w:w="6250"/>
      </w:tblGrid>
      <w:tr>
        <w:tc>
          <w:tcPr>
            <w:tcW w:type="dxa" w:w="3100"/>
            <w:shd w:fill="F1F5F9" w:val="clear"/>
          </w:tcPr>
          <w:p>
            <w:pPr>
              <w:spacing w:after="160"/>
            </w:pPr>
            <w:r>
              <w:rPr>
                <w:b/>
                <w:bCs/>
              </w:rPr>
              <w:t xml:space="preserve">Color</w:t>
            </w:r>
          </w:p>
        </w:tc>
        <w:tc>
          <w:tcPr>
            <w:tcW w:type="dxa" w:w="6250"/>
            <w:shd w:fill="F1F5F9" w:val="clear"/>
          </w:tcPr>
          <w:p>
            <w:pPr>
              <w:spacing w:after="160"/>
            </w:pPr>
            <w:r>
              <w:rPr>
                <w:b/>
                <w:bCs/>
              </w:rPr>
              <w:t xml:space="preserve">Role</w:t>
            </w:r>
          </w:p>
        </w:tc>
      </w:tr>
      <w:tr>
        <w:tc>
          <w:tcPr>
            <w:tcW w:type="dxa" w:w="3100"/>
            <w:shd w:fill="FFFFFF" w:val="clear"/>
          </w:tcPr>
          <w:p>
            <w:r>
              <w:rPr>
                <w:color w:val="16A34A"/>
                <w:sz w:val="28"/>
                <w:szCs w:val="28"/>
              </w:rPr>
              <w:t xml:space="preserve">■ </w:t>
            </w:r>
            <w:r>
              <w:rPr>
                <w:b/>
                <w:bCs/>
              </w:rPr>
              <w:t xml:space="preserve">Pass / success</w:t>
            </w:r>
          </w:p>
          <w:p>
            <w:r>
              <w:rPr>
                <w:rFonts w:ascii="Consolas" w:cs="Consolas" w:eastAsia="Consolas" w:hAnsi="Consolas"/>
                <w:sz w:val="20"/>
                <w:szCs w:val="20"/>
              </w:rPr>
              <w:t xml:space="preserve">16A34A</w:t>
            </w:r>
          </w:p>
        </w:tc>
        <w:tc>
          <w:tcPr>
            <w:tcW w:type="dxa" w:w="6250"/>
          </w:tcPr>
          <w:p>
            <w:pPr>
              <w:spacing w:after="160"/>
            </w:pPr>
            <w:r>
              <w:t xml:space="preserve"/>
            </w:r>
          </w:p>
        </w:tc>
      </w:tr>
      <w:tr>
        <w:tc>
          <w:tcPr>
            <w:tcW w:type="dxa" w:w="3100"/>
            <w:shd w:fill="FFFFFF" w:val="clear"/>
          </w:tcPr>
          <w:p>
            <w:r>
              <w:rPr>
                <w:color w:val="D97706"/>
                <w:sz w:val="28"/>
                <w:szCs w:val="28"/>
              </w:rPr>
              <w:t xml:space="preserve">■ </w:t>
            </w:r>
            <w:r>
              <w:rPr>
                <w:b/>
                <w:bCs/>
              </w:rPr>
              <w:t xml:space="preserve">Warn</w:t>
            </w:r>
          </w:p>
          <w:p>
            <w:r>
              <w:rPr>
                <w:rFonts w:ascii="Consolas" w:cs="Consolas" w:eastAsia="Consolas" w:hAnsi="Consolas"/>
                <w:sz w:val="20"/>
                <w:szCs w:val="20"/>
              </w:rPr>
              <w:t xml:space="preserve">D97706</w:t>
            </w:r>
          </w:p>
        </w:tc>
        <w:tc>
          <w:tcPr>
            <w:tcW w:type="dxa" w:w="6250"/>
          </w:tcPr>
          <w:p>
            <w:pPr>
              <w:spacing w:after="160"/>
            </w:pPr>
            <w:r>
              <w:t xml:space="preserve"/>
            </w:r>
          </w:p>
        </w:tc>
      </w:tr>
      <w:tr>
        <w:tc>
          <w:tcPr>
            <w:tcW w:type="dxa" w:w="3100"/>
            <w:shd w:fill="FFFFFF" w:val="clear"/>
          </w:tcPr>
          <w:p>
            <w:r>
              <w:rPr>
                <w:color w:val="DC2626"/>
                <w:sz w:val="28"/>
                <w:szCs w:val="28"/>
              </w:rPr>
              <w:t xml:space="preserve">■ </w:t>
            </w:r>
            <w:r>
              <w:rPr>
                <w:b/>
                <w:bCs/>
              </w:rPr>
              <w:t xml:space="preserve">Fail / error</w:t>
            </w:r>
          </w:p>
          <w:p>
            <w:r>
              <w:rPr>
                <w:rFonts w:ascii="Consolas" w:cs="Consolas" w:eastAsia="Consolas" w:hAnsi="Consolas"/>
                <w:sz w:val="20"/>
                <w:szCs w:val="20"/>
              </w:rPr>
              <w:t xml:space="preserve">DC2626</w:t>
            </w:r>
          </w:p>
        </w:tc>
        <w:tc>
          <w:tcPr>
            <w:tcW w:type="dxa" w:w="6250"/>
          </w:tcPr>
          <w:p>
            <w:pPr>
              <w:spacing w:after="160"/>
            </w:pPr>
            <w:r>
              <w:t xml:space="preserve"/>
            </w:r>
          </w:p>
        </w:tc>
      </w:tr>
    </w:tbl>
    <w:p>
      <w:pPr>
        <w:spacing w:after="160"/>
      </w:pPr>
      <w:r>
        <w:t xml:space="preserve">These three are deliberately excluded from the brand/capability palette above. A green, amber, or red element in the product always means a status; it never doubles as a theme accent, which is why the capability set above avoids anything that could be confused with them (no green, amber-orange, or red in the seal or the UI's decorative palette).</w:t>
      </w:r>
    </w:p>
    <w:p>
      <w:pPr>
        <w:pStyle w:val="Heading1"/>
        <w:spacing w:after="160" w:before="320"/>
      </w:pPr>
      <w:r>
        <w:t xml:space="preserve">4. Typography</w:t>
      </w:r>
    </w:p>
    <w:p>
      <w:pPr>
        <w:pStyle w:val="ListParagraph"/>
        <w:numPr>
          <w:ilvl w:val="0"/>
          <w:numId w:val="2"/>
        </w:numPr>
        <w:spacing w:after="80"/>
      </w:pPr>
      <w:r>
        <w:t xml:space="preserve">Display / headings: Unbounded, weights 500/600/700.</w:t>
      </w:r>
    </w:p>
    <w:p>
      <w:pPr>
        <w:pStyle w:val="ListParagraph"/>
        <w:numPr>
          <w:ilvl w:val="0"/>
          <w:numId w:val="2"/>
        </w:numPr>
        <w:spacing w:after="80"/>
      </w:pPr>
      <w:r>
        <w:t xml:space="preserve">Body copy: Poppins, weights 400–800.</w:t>
      </w:r>
    </w:p>
    <w:p>
      <w:pPr>
        <w:spacing w:after="160"/>
      </w:pPr>
      <w:r>
        <w:t xml:space="preserve">Both loaded from Google Fonts in website/index.html. Headings in Unbounded read slightly geometric/technical, which is deliberate — it's what keeps the brand from reading as a generic SaaS template despite the cooler, more restrained color palette.</w:t>
      </w:r>
    </w:p>
    <w:p>
      <w:pPr>
        <w:pStyle w:val="Heading1"/>
        <w:spacing w:after="160" w:before="320"/>
      </w:pPr>
      <w:r>
        <w:t xml:space="preserve">5. Voice &amp; Tone</w:t>
      </w:r>
    </w:p>
    <w:p>
      <w:pPr>
        <w:spacing w:after="160"/>
      </w:pPr>
      <w:r>
        <w:t xml:space="preserve">Confident and plainspoken, not corporate. DataFe talks to the practitioner doing the work — a data or ops lead — not to a procurement committee. A little wry is fine; flippant about real problems (PII exposure, compliance) is not.</w:t>
      </w:r>
    </w:p>
    <w:p>
      <w:pPr>
        <w:pStyle w:val="Heading2"/>
        <w:spacing w:after="120" w:before="260"/>
      </w:pPr>
      <w:r>
        <w:t xml:space="preserve">Do</w:t>
      </w:r>
    </w:p>
    <w:p>
      <w:pPr>
        <w:pStyle w:val="ListParagraph"/>
        <w:numPr>
          <w:ilvl w:val="0"/>
          <w:numId w:val="2"/>
        </w:numPr>
        <w:spacing w:after="80"/>
      </w:pPr>
      <w:r>
        <w:t xml:space="preserve">Name the actual pain in plain language: "No more tribal knowledge. No more 'who owns this?' Slack threads."</w:t>
      </w:r>
    </w:p>
    <w:p>
      <w:pPr>
        <w:pStyle w:val="ListParagraph"/>
        <w:numPr>
          <w:ilvl w:val="0"/>
          <w:numId w:val="2"/>
        </w:numPr>
        <w:spacing w:after="80"/>
      </w:pPr>
      <w:r>
        <w:t xml:space="preserve">Be concrete over abstract: "73% less time spent finding data" beats "dramatically improve efficiency."</w:t>
      </w:r>
    </w:p>
    <w:p>
      <w:pPr>
        <w:pStyle w:val="ListParagraph"/>
        <w:numPr>
          <w:ilvl w:val="0"/>
          <w:numId w:val="2"/>
        </w:numPr>
        <w:spacing w:after="80"/>
      </w:pPr>
      <w:r>
        <w:t xml:space="preserve">Use light humor sparingly, aimed at the problem, never the customer: "Cancel the tribal knowledge, not just the plan."</w:t>
      </w:r>
    </w:p>
    <w:p>
      <w:pPr>
        <w:pStyle w:val="ListParagraph"/>
        <w:numPr>
          <w:ilvl w:val="0"/>
          <w:numId w:val="2"/>
        </w:numPr>
        <w:spacing w:after="80"/>
      </w:pPr>
      <w:r>
        <w:t xml:space="preserve">Say what the product actually does before what it "empowers" or "unlocks."</w:t>
      </w:r>
    </w:p>
    <w:p>
      <w:pPr>
        <w:pStyle w:val="Heading2"/>
        <w:spacing w:after="120" w:before="260"/>
      </w:pPr>
      <w:r>
        <w:t xml:space="preserve">Don't</w:t>
      </w:r>
    </w:p>
    <w:p>
      <w:pPr>
        <w:pStyle w:val="ListParagraph"/>
        <w:numPr>
          <w:ilvl w:val="0"/>
          <w:numId w:val="2"/>
        </w:numPr>
        <w:spacing w:after="80"/>
      </w:pPr>
      <w:r>
        <w:t xml:space="preserve">Don't use enterprise-jargon padding: "leverage," "synergy," "end-to-end solution," "best-in-class."</w:t>
      </w:r>
    </w:p>
    <w:p>
      <w:pPr>
        <w:pStyle w:val="ListParagraph"/>
        <w:numPr>
          <w:ilvl w:val="0"/>
          <w:numId w:val="2"/>
        </w:numPr>
        <w:spacing w:after="80"/>
      </w:pPr>
      <w:r>
        <w:t xml:space="preserve">Don't oversell certainty on compliance topics — DataFe helps with DPDP/GDPR-style governance, it doesn't itself make a company "compliant." Legal pages (terms/privacy/DPA) stay precise and hedged, not marketing-voiced.</w:t>
      </w:r>
    </w:p>
    <w:p>
      <w:pPr>
        <w:pStyle w:val="ListParagraph"/>
        <w:numPr>
          <w:ilvl w:val="0"/>
          <w:numId w:val="2"/>
        </w:numPr>
        <w:spacing w:after="80"/>
      </w:pPr>
      <w:r>
        <w:t xml:space="preserve">Don't punch down at competitors by name in customer-facing copy — competitive positioning (see docs/DataFe_Pricing_Strategy.docx) is for internal strategy, not public jabs.</w:t>
      </w:r>
    </w:p>
    <w:p>
      <w:pPr>
        <w:pStyle w:val="Heading1"/>
        <w:spacing w:after="160" w:before="320"/>
      </w:pPr>
      <w:r>
        <w:t xml:space="preserve">6. Where This Lives in Code</w:t>
      </w:r>
    </w:p>
    <w:p>
      <w:pPr>
        <w:pStyle w:val="ListParagraph"/>
        <w:numPr>
          <w:ilvl w:val="0"/>
          <w:numId w:val="2"/>
        </w:numPr>
        <w:spacing w:after="80"/>
      </w:pPr>
      <w:r>
        <w:rPr>
          <w:rFonts w:ascii="Consolas" w:cs="Consolas" w:eastAsia="Consolas" w:hAnsi="Consolas"/>
          <w:sz w:val="20"/>
          <w:szCs w:val="20"/>
        </w:rPr>
        <w:t xml:space="preserve">frontend/src/components/DataFeLogo.tsx</w:t>
      </w:r>
      <w:r>
        <w:t xml:space="preserve"> — canonical logo component (app), light/dark variants, small-size fallback.</w:t>
      </w:r>
    </w:p>
    <w:p>
      <w:pPr>
        <w:pStyle w:val="ListParagraph"/>
        <w:numPr>
          <w:ilvl w:val="0"/>
          <w:numId w:val="2"/>
        </w:numPr>
        <w:spacing w:after="80"/>
      </w:pPr>
      <w:r>
        <w:rPr>
          <w:rFonts w:ascii="Consolas" w:cs="Consolas" w:eastAsia="Consolas" w:hAnsi="Consolas"/>
          <w:sz w:val="20"/>
          <w:szCs w:val="20"/>
        </w:rPr>
        <w:t xml:space="preserve">frontend/public/favicon.svg</w:t>
      </w:r>
      <w:r>
        <w:t xml:space="preserve"> and </w:t>
      </w:r>
      <w:r>
        <w:rPr>
          <w:rFonts w:ascii="Consolas" w:cs="Consolas" w:eastAsia="Consolas" w:hAnsi="Consolas"/>
          <w:sz w:val="20"/>
          <w:szCs w:val="20"/>
        </w:rPr>
        <w:t xml:space="preserve">frontend/src/app/icon.svg</w:t>
      </w:r>
      <w:r>
        <w:t xml:space="preserve"> — small-size single-ring mark.</w:t>
      </w:r>
    </w:p>
    <w:p>
      <w:pPr>
        <w:pStyle w:val="ListParagraph"/>
        <w:numPr>
          <w:ilvl w:val="0"/>
          <w:numId w:val="2"/>
        </w:numPr>
        <w:spacing w:after="80"/>
      </w:pPr>
      <w:r>
        <w:rPr>
          <w:rFonts w:ascii="Consolas" w:cs="Consolas" w:eastAsia="Consolas" w:hAnsi="Consolas"/>
          <w:sz w:val="20"/>
          <w:szCs w:val="20"/>
        </w:rPr>
        <w:t xml:space="preserve">website/index.html</w:t>
      </w:r>
      <w:r>
        <w:t xml:space="preserve"> and </w:t>
      </w:r>
      <w:r>
        <w:rPr>
          <w:rFonts w:ascii="Consolas" w:cs="Consolas" w:eastAsia="Consolas" w:hAnsi="Consolas"/>
          <w:sz w:val="20"/>
          <w:szCs w:val="20"/>
        </w:rPr>
        <w:t xml:space="preserve">frontend/public/site.html</w:t>
      </w:r>
      <w:r>
        <w:t xml:space="preserve"> — marketing site, full logo mark inline (header + footer) and the color tokens as CSS custom properties in </w:t>
      </w:r>
      <w:r>
        <w:rPr>
          <w:rFonts w:ascii="Consolas" w:cs="Consolas" w:eastAsia="Consolas" w:hAnsi="Consolas"/>
          <w:sz w:val="20"/>
          <w:szCs w:val="20"/>
        </w:rPr>
        <w:t xml:space="preserve">:root</w:t>
      </w:r>
      <w:r>
        <w:t xml:space="preserve">.</w:t>
      </w:r>
    </w:p>
    <w:p>
      <w:pPr>
        <w:pStyle w:val="ListParagraph"/>
        <w:numPr>
          <w:ilvl w:val="0"/>
          <w:numId w:val="2"/>
        </w:numPr>
        <w:spacing w:after="80"/>
      </w:pPr>
      <w:r>
        <w:rPr>
          <w:rFonts w:ascii="Consolas" w:cs="Consolas" w:eastAsia="Consolas" w:hAnsi="Consolas"/>
          <w:sz w:val="20"/>
          <w:szCs w:val="20"/>
        </w:rPr>
        <w:t xml:space="preserve">frontend/public/trust.html, privacy.html, terms.html, dpa.html</w:t>
      </w:r>
      <w:r>
        <w:t xml:space="preserve"> — legal pages, same token set, small-size logo mark.</w:t>
      </w:r>
    </w:p>
    <w:p>
      <w:pPr>
        <w:pStyle w:val="ListParagraph"/>
        <w:numPr>
          <w:ilvl w:val="0"/>
          <w:numId w:val="2"/>
        </w:numPr>
        <w:spacing w:after="80"/>
      </w:pPr>
      <w:r>
        <w:rPr>
          <w:rFonts w:ascii="Consolas" w:cs="Consolas" w:eastAsia="Consolas" w:hAnsi="Consolas"/>
          <w:sz w:val="20"/>
          <w:szCs w:val="20"/>
        </w:rPr>
        <w:t xml:space="preserve">frontend/src/components/TopNav.tsx</w:t>
      </w:r>
      <w:r>
        <w:t xml:space="preserve"> — in-app nav, uses the ink token directly for the Platform admin badge.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2026-07-30T05:15:05.321Z</dcterms:created>
  <dcterms:modified xsi:type="dcterms:W3CDTF">2026-07-30T05:15:05.323Z</dcterms:modified>
</cp:coreProperties>
</file>

<file path=docProps/custom.xml><?xml version="1.0" encoding="utf-8"?>
<Properties xmlns="http://schemas.openxmlformats.org/officeDocument/2006/custom-properties" xmlns:vt="http://schemas.openxmlformats.org/officeDocument/2006/docPropsVTypes"/>
</file>