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11827"/>
          <w:sz w:val="56"/>
          <w:szCs w:val="56"/>
        </w:rPr>
        <w:t xml:space="preserve">ICHNOS</w:t>
      </w:r>
    </w:p>
    <w:p>
      <w:pPr>
        <w:spacing w:after="320"/>
      </w:pPr>
      <w:r>
        <w:rPr>
          <w:color w:val="6B7280"/>
          <w:sz w:val="24"/>
          <w:szCs w:val="24"/>
        </w:rPr>
        <w:t xml:space="preserve">Metadata Intelligence &amp; Governance Platform</w:t>
      </w:r>
    </w:p>
    <w:p>
      <w:pPr>
        <w:spacing w:after="40"/>
      </w:pPr>
      <w:r>
        <w:rPr>
          <w:b/>
          <w:bCs/>
          <w:sz w:val="40"/>
          <w:szCs w:val="40"/>
        </w:rPr>
        <w:t xml:space="preserve">Pricing Strategy</w:t>
      </w:r>
    </w:p>
    <w:p>
      <w:pPr>
        <w:spacing w:after="480"/>
      </w:pPr>
      <w:r>
        <w:rPr>
          <w:color w:val="6B7280"/>
          <w:sz w:val="20"/>
          <w:szCs w:val="20"/>
        </w:rPr>
        <w:t xml:space="preserve">July 2026</w:t>
      </w:r>
    </w:p>
    <w:p>
      <w:pPr>
        <w:pStyle w:val="Heading1"/>
        <w:spacing w:after="160" w:before="360"/>
      </w:pPr>
      <w:r>
        <w:t xml:space="preserve">Executive Summary</w:t>
      </w:r>
    </w:p>
    <w:p>
      <w:pPr>
        <w:spacing w:after="160"/>
      </w:pPr>
      <w:r>
        <w:t xml:space="preserve">Ichnos is a metadata catalog and data governance platform - the kind of system Collibra and Informatica sell to large enterprises - built for small and mid-size companies that have real governance needs (PII exposure, scattered ownership, no single source of truth for “what is this data and who owns it”) but no budget or headcount for an enterprise governance program. This document proposes a self-serve, transparently priced tier structure that undercuts the incumbent players by one to two orders of magnitude, prices primarily on the size of the data estate being governed rather than on every person who merely needs to look something up, and uses a genuine free tier as the growth engine rather than a lead-gated demo.</w:t>
      </w:r>
    </w:p>
    <w:p>
      <w:pPr>
        <w:spacing w:after="160"/>
      </w:pPr>
      <w:r>
        <w:t xml:space="preserve">The core pricing decision is this: read-only participation is free, unlimited, and permanent on every tier. The Data Owner, Steward, and Admin roles who actively catalog, classify, approve, and correct data are the paid seats. This mirrors how the product itself is built - a role model with a dedicated read-only participant (“Viewer”) whose job is exactly to ask questions and flag issues cheaply - and it removes the single biggest adoption blocker small companies hit with seat-priced tools: paying per person just so the finance lead or a support rep can look something up once a month.</w:t>
      </w:r>
    </w:p>
    <w:p>
      <w:pPr>
        <w:pStyle w:val="Heading1"/>
        <w:spacing w:after="160" w:before="360"/>
      </w:pPr>
      <w:r>
        <w:t xml:space="preserve">Market Positioning &amp; Competitive Landscape</w:t>
      </w:r>
    </w:p>
    <w:p>
      <w:pPr>
        <w:spacing w:after="160"/>
      </w:pPr>
      <w:r>
        <w:t xml:space="preserve">The market splits into two bands. At the top, Collibra and Informatica sell enterprise-grade governance suites priced for organizations that already have a data platform team and a governance budget line. At the bottom and middle, a newer generation of catalogs - Atlan, Select Star, Secoda, Castor/Coalesce - target data teams directly with self-serve or low-touch sales, but still price in a way that scales past what a 20-200 person company wants to spend once the team (not just the data volume) grows.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3200"/>
        <w:gridCol w:w="3260"/>
      </w:tblGrid>
      <w:tr>
        <w:tc>
          <w:tcPr>
            <w:tcW w:type="dxa" w:w="1900"/>
            <w:tcBorders>
              <w:top w:val="single" w:color="D1D5DB" w:sz="4"/>
              <w:left w:val="single" w:color="D1D5DB" w:sz="4"/>
              <w:bottom w:val="single" w:color="D1D5DB" w:sz="4"/>
              <w:right w:val="single" w:color="D1D5DB" w:sz="4"/>
            </w:tcBorders>
            <w:shd w:fill="111827" w:val="clear"/>
            <w:tcMar>
              <w:top w:type="dxa" w:w="100"/>
              <w:left w:type="dxa" w:w="120"/>
              <w:bottom w:type="dxa" w:w="100"/>
              <w:right w:type="dxa" w:w="120"/>
            </w:tcMar>
          </w:tcPr>
          <w:p>
            <w:r>
              <w:rPr>
                <w:b/>
                <w:bCs/>
                <w:color w:val="FFFFFF"/>
                <w:sz w:val="18"/>
                <w:szCs w:val="18"/>
              </w:rPr>
              <w:t xml:space="preserve">Vendor</w:t>
            </w:r>
          </w:p>
        </w:tc>
        <w:tc>
          <w:tcPr>
            <w:tcW w:type="dxa" w:w="2000"/>
            <w:tcBorders>
              <w:top w:val="single" w:color="D1D5DB" w:sz="4"/>
              <w:left w:val="single" w:color="D1D5DB" w:sz="4"/>
              <w:bottom w:val="single" w:color="D1D5DB" w:sz="4"/>
              <w:right w:val="single" w:color="D1D5DB" w:sz="4"/>
            </w:tcBorders>
            <w:shd w:fill="111827" w:val="clear"/>
            <w:tcMar>
              <w:top w:type="dxa" w:w="100"/>
              <w:left w:type="dxa" w:w="120"/>
              <w:bottom w:type="dxa" w:w="100"/>
              <w:right w:type="dxa" w:w="120"/>
            </w:tcMar>
          </w:tcPr>
          <w:p>
            <w:r>
              <w:rPr>
                <w:b/>
                <w:bCs/>
                <w:color w:val="FFFFFF"/>
                <w:sz w:val="18"/>
                <w:szCs w:val="18"/>
              </w:rPr>
              <w:t xml:space="preserve">Entry Price</w:t>
            </w:r>
          </w:p>
        </w:tc>
        <w:tc>
          <w:tcPr>
            <w:tcW w:type="dxa" w:w="3200"/>
            <w:tcBorders>
              <w:top w:val="single" w:color="D1D5DB" w:sz="4"/>
              <w:left w:val="single" w:color="D1D5DB" w:sz="4"/>
              <w:bottom w:val="single" w:color="D1D5DB" w:sz="4"/>
              <w:right w:val="single" w:color="D1D5DB" w:sz="4"/>
            </w:tcBorders>
            <w:shd w:fill="111827" w:val="clear"/>
            <w:tcMar>
              <w:top w:type="dxa" w:w="100"/>
              <w:left w:type="dxa" w:w="120"/>
              <w:bottom w:type="dxa" w:w="100"/>
              <w:right w:type="dxa" w:w="120"/>
            </w:tcMar>
          </w:tcPr>
          <w:p>
            <w:r>
              <w:rPr>
                <w:b/>
                <w:bCs/>
                <w:color w:val="FFFFFF"/>
                <w:sz w:val="18"/>
                <w:szCs w:val="18"/>
              </w:rPr>
              <w:t xml:space="preserve">Scaling Mechanism</w:t>
            </w:r>
          </w:p>
        </w:tc>
        <w:tc>
          <w:tcPr>
            <w:tcW w:type="dxa" w:w="3260"/>
            <w:tcBorders>
              <w:top w:val="single" w:color="D1D5DB" w:sz="4"/>
              <w:left w:val="single" w:color="D1D5DB" w:sz="4"/>
              <w:bottom w:val="single" w:color="D1D5DB" w:sz="4"/>
              <w:right w:val="single" w:color="D1D5DB" w:sz="4"/>
            </w:tcBorders>
            <w:shd w:fill="111827" w:val="clear"/>
            <w:tcMar>
              <w:top w:type="dxa" w:w="100"/>
              <w:left w:type="dxa" w:w="120"/>
              <w:bottom w:type="dxa" w:w="100"/>
              <w:right w:type="dxa" w:w="120"/>
            </w:tcMar>
          </w:tcPr>
          <w:p>
            <w:r>
              <w:rPr>
                <w:b/>
                <w:bCs/>
                <w:color w:val="FFFFFF"/>
                <w:sz w:val="18"/>
                <w:szCs w:val="18"/>
              </w:rPr>
              <w:t xml:space="preserve">Typical Small-Company Cost</w:t>
            </w:r>
          </w:p>
        </w:tc>
      </w:tr>
      <w:tr>
        <w:tc>
          <w:tcPr>
            <w:tcW w:type="dxa" w:w="19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Collibra</w:t>
            </w:r>
          </w:p>
        </w:tc>
        <w:tc>
          <w:tcPr>
            <w:tcW w:type="dxa" w:w="20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$170,000/yr median</w:t>
            </w:r>
          </w:p>
        </w:tc>
        <w:tc>
          <w:tcPr>
            <w:tcW w:type="dxa" w:w="32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Per-user + implementation services (30–50% of base) + professional services</w:t>
            </w:r>
          </w:p>
        </w:tc>
        <w:tc>
          <w:tcPr>
            <w:tcW w:type="dxa" w:w="326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Not viable - enterprise-only, sales-led</w:t>
            </w:r>
          </w:p>
        </w:tc>
      </w:tr>
      <w:tr>
        <w:tc>
          <w:tcPr>
            <w:tcW w:type="dxa" w:w="19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Informatica</w:t>
            </w:r>
          </w:p>
        </w:tc>
        <w:tc>
          <w:tcPr>
            <w:tcW w:type="dxa" w:w="20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Consumption (IPU) - no published floor</w:t>
            </w:r>
          </w:p>
        </w:tc>
        <w:tc>
          <w:tcPr>
            <w:tcW w:type="dxa" w:w="32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Processing-unit consumption, hard to forecast</w:t>
            </w:r>
          </w:p>
        </w:tc>
        <w:tc>
          <w:tcPr>
            <w:tcW w:type="dxa" w:w="326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Not viable - enterprise-only, sales-led</w:t>
            </w:r>
          </w:p>
        </w:tc>
      </w:tr>
      <w:tr>
        <w:tc>
          <w:tcPr>
            <w:tcW w:type="dxa" w:w="19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Atlan</w:t>
            </w:r>
          </w:p>
        </w:tc>
        <w:tc>
          <w:tcPr>
            <w:tcW w:type="dxa" w:w="20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Free (1 user)</w:t>
            </w:r>
          </w:p>
        </w:tc>
        <w:tc>
          <w:tcPr>
            <w:tcW w:type="dxa" w:w="32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Per-user, practitioner vs. business-user tiers; $15–$30/user/mo</w:t>
            </w:r>
          </w:p>
        </w:tc>
        <w:tc>
          <w:tcPr>
            <w:tcW w:type="dxa" w:w="326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$25,000–$50,000/yr once a 20–30-person team is onboarded</w:t>
            </w:r>
          </w:p>
        </w:tc>
      </w:tr>
      <w:tr>
        <w:tc>
          <w:tcPr>
            <w:tcW w:type="dxa" w:w="19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Select Star</w:t>
            </w:r>
          </w:p>
        </w:tc>
        <w:tc>
          <w:tcPr>
            <w:tcW w:type="dxa" w:w="20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~$270–$300/mo</w:t>
            </w:r>
          </w:p>
        </w:tc>
        <w:tc>
          <w:tcPr>
            <w:tcW w:type="dxa" w:w="32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Sources + users + tables</w:t>
            </w:r>
          </w:p>
        </w:tc>
        <w:tc>
          <w:tcPr>
            <w:tcW w:type="dxa" w:w="326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$70,000–$90,000/yr at enterprise scale</w:t>
            </w:r>
          </w:p>
        </w:tc>
      </w:tr>
      <w:tr>
        <w:tc>
          <w:tcPr>
            <w:tcW w:type="dxa" w:w="19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Secoda</w:t>
            </w:r>
          </w:p>
        </w:tc>
        <w:tc>
          <w:tcPr>
            <w:tcW w:type="dxa" w:w="20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No free tier</w:t>
            </w:r>
          </w:p>
        </w:tc>
        <w:tc>
          <w:tcPr>
            <w:tcW w:type="dxa" w:w="32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Subscription + usage; cited plans from ~$5,500/mo</w:t>
            </w:r>
          </w:p>
        </w:tc>
        <w:tc>
          <w:tcPr>
            <w:tcW w:type="dxa" w:w="326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$60,000+/yr; acquired by Atlassian Dec 2025, pricing direction uncertain</w:t>
            </w:r>
          </w:p>
        </w:tc>
      </w:tr>
      <w:tr>
        <w:tc>
          <w:tcPr>
            <w:tcW w:type="dxa" w:w="19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Ichnos (proposed)</w:t>
            </w:r>
          </w:p>
        </w:tc>
        <w:tc>
          <w:tcPr>
            <w:tcW w:type="dxa" w:w="20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Free (1 source, unlimited viewers)</w:t>
            </w:r>
          </w:p>
        </w:tc>
        <w:tc>
          <w:tcPr>
            <w:tcW w:type="dxa" w:w="32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Connected sources + editor seats, viewers always free</w:t>
            </w:r>
          </w:p>
        </w:tc>
        <w:tc>
          <w:tcPr>
            <w:tcW w:type="dxa" w:w="326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$0–$1,200/yr for most small teams; $4,200/yr covers most 20–50 person companies</w:t>
            </w:r>
          </w:p>
        </w:tc>
      </w:tr>
    </w:tbl>
    <w:p>
      <w:pPr>
        <w:spacing w:after="200" w:before="200"/>
      </w:pPr>
      <w:r>
        <w:rPr>
          <w:i/>
          <w:iCs/>
          <w:color w:val="6B7280"/>
          <w:sz w:val="16"/>
          <w:szCs w:val="16"/>
        </w:rPr>
        <w:t xml:space="preserve">Sources: Atlan, Select Star, Secoda, and Collibra pricing figures per Vendr, Capterra, G2, CostBench, and vendor-published data collected July 2026; figures are directional list-price ranges, not quotes.</w:t>
      </w:r>
    </w:p>
    <w:p>
      <w:pPr>
        <w:spacing w:after="160"/>
      </w:pPr>
      <w:r>
        <w:t xml:space="preserve">Three gaps this creates that Ichnos can occupy:</w:t>
      </w:r>
    </w:p>
    <w:p>
      <w:pPr>
        <w:pStyle w:val="ListParagraph"/>
        <w:numPr>
          <w:ilvl w:val="0"/>
          <w:numId w:val="2"/>
        </w:numPr>
        <w:spacing w:after="80"/>
      </w:pPr>
      <w:r>
        <w:t xml:space="preserve">Transparent, published pricing. Collibra and Informatica are entirely sales-led with opaque, negotiated pricing - a friction point small buyers actively avoid. Publishing real numbers is itself a differentiator.</w:t>
      </w:r>
    </w:p>
    <w:p>
      <w:pPr>
        <w:pStyle w:val="ListParagraph"/>
        <w:numPr>
          <w:ilvl w:val="0"/>
          <w:numId w:val="2"/>
        </w:numPr>
        <w:spacing w:after="80"/>
      </w:pPr>
      <w:r>
        <w:t xml:space="preserve">Read-only participation shouldn't be a line item. Every competitor above charges per active user in some form, which taxes exactly the behavior governance programs need most: business users checking definitions and ownership before they get it wrong.</w:t>
      </w:r>
    </w:p>
    <w:p>
      <w:pPr>
        <w:pStyle w:val="ListParagraph"/>
        <w:numPr>
          <w:ilvl w:val="0"/>
          <w:numId w:val="2"/>
        </w:numPr>
        <w:spacing w:after="80"/>
      </w:pPr>
      <w:r>
        <w:t xml:space="preserve">Small-estate pricing that doesn't cliff-edge into enterprise territory. Atlan's free tier is genuinely useful for one person; the moment a small company needs its actual team (not just one admin) using the tool, list price jumps to five figures a year. Ichnos's Team and Business tiers are built to hold a real 5–50 person company comfortably below that jump.</w:t>
      </w:r>
    </w:p>
    <w:p>
      <w:pPr>
        <w:pStyle w:val="Heading1"/>
        <w:spacing w:after="160" w:before="360"/>
      </w:pPr>
      <w:r>
        <w:t xml:space="preserve">Target Customer</w:t>
      </w:r>
    </w:p>
    <w:p>
      <w:pPr>
        <w:spacing w:after="160"/>
      </w:pPr>
      <w:r>
        <w:t xml:space="preserve">Primary buyer: a head of data, ops, or engineering at a 20–300 person company who owns 3–20 operational data sources (a production database, a CRM, a support desk, a warehouse, a couple of SaaS exports) and has no dedicated data governance function. They are being pulled toward a catalog by one of three triggers:</w:t>
      </w:r>
    </w:p>
    <w:p>
      <w:pPr>
        <w:pStyle w:val="ListParagraph"/>
        <w:numPr>
          <w:ilvl w:val="0"/>
          <w:numId w:val="2"/>
        </w:numPr>
        <w:spacing w:after="80"/>
      </w:pPr>
      <w:r>
        <w:t xml:space="preserve">A compliance requirement (DPDP/GDPR-style PII inventory) that a spreadsheet can no longer satisfy credibly.</w:t>
      </w:r>
    </w:p>
    <w:p>
      <w:pPr>
        <w:pStyle w:val="ListParagraph"/>
        <w:numPr>
          <w:ilvl w:val="0"/>
          <w:numId w:val="2"/>
        </w:numPr>
        <w:spacing w:after="80"/>
      </w:pPr>
      <w:r>
        <w:t xml:space="preserve">Repeated “who owns this table / can I trust this number” friction as the team and data surface grow past what tribal knowledge can cover.</w:t>
      </w:r>
    </w:p>
    <w:p>
      <w:pPr>
        <w:pStyle w:val="ListParagraph"/>
        <w:numPr>
          <w:ilvl w:val="0"/>
          <w:numId w:val="2"/>
        </w:numPr>
        <w:spacing w:after="80"/>
      </w:pPr>
      <w:r>
        <w:t xml:space="preserve">Onboarding a new data hire who needs the institutional context that used to live only in one person's head.</w:t>
      </w:r>
    </w:p>
    <w:p>
      <w:pPr>
        <w:spacing w:after="160"/>
      </w:pPr>
      <w:r>
        <w:t xml:space="preserve">This buyer has evaluated or would evaluate Atlan or Select Star, been quoted a number that assumes a dedicated platform team, and is currently doing nothing (or maintaining a spreadsheet) instead. Ichnos's job is to be the tool this buyer can put on a company card today, not the tool that requires a procurement cycle.</w:t>
      </w:r>
    </w:p>
    <w:p>
      <w:pPr>
        <w:pStyle w:val="Heading1"/>
        <w:spacing w:after="160" w:before="360"/>
      </w:pPr>
      <w:r>
        <w:t xml:space="preserve">Pricing Philosophy &amp; Drivers</w:t>
      </w:r>
    </w:p>
    <w:p>
      <w:pPr>
        <w:spacing w:after="160"/>
      </w:pPr>
      <w:r>
        <w:t xml:space="preserve">Two variables set price, and only two, so the model stays predictable for a buyer sizing their own cost before signing up:</w:t>
      </w:r>
    </w:p>
    <w:p>
      <w:pPr>
        <w:pStyle w:val="ListParagraph"/>
        <w:numPr>
          <w:ilvl w:val="0"/>
          <w:numId w:val="2"/>
        </w:numPr>
        <w:spacing w:after="80"/>
      </w:pPr>
      <w:r>
        <w:t xml:space="preserve">Connected sources - the natural proxy for the size and complexity of the data estate being governed, and roughly proportional to the engineering value the platform is providing (each connector is real integration work).</w:t>
      </w:r>
    </w:p>
    <w:p>
      <w:pPr>
        <w:pStyle w:val="ListParagraph"/>
        <w:numPr>
          <w:ilvl w:val="0"/>
          <w:numId w:val="2"/>
        </w:numPr>
        <w:spacing w:after="80"/>
      </w:pPr>
      <w:r>
        <w:t xml:space="preserve">Editor seats (Admin, Steward, Data Owner) - the people who do governance work: classify data, write definitions, approve certifications, own contracts. This is the group whose time the product is actually saving.</w:t>
      </w:r>
    </w:p>
    <w:p>
      <w:pPr>
        <w:spacing w:after="160"/>
      </w:pPr>
      <w:r>
        <w:t xml:space="preserve">Deliberately not a pricing driver:</w:t>
      </w:r>
    </w:p>
    <w:p>
      <w:pPr>
        <w:pStyle w:val="ListParagraph"/>
        <w:numPr>
          <w:ilvl w:val="0"/>
          <w:numId w:val="2"/>
        </w:numPr>
        <w:spacing w:after="80"/>
      </w:pPr>
      <w:r>
        <w:t xml:space="preserve">Viewer seats - unlimited and free on every paid tier, including Enterprise. A company should never have to choose between governance coverage and the discovery/Ask features that make governance actually get used.</w:t>
      </w:r>
    </w:p>
    <w:p>
      <w:pPr>
        <w:pStyle w:val="ListParagraph"/>
        <w:numPr>
          <w:ilvl w:val="0"/>
          <w:numId w:val="2"/>
        </w:numPr>
        <w:spacing w:after="80"/>
      </w:pPr>
      <w:r>
        <w:t xml:space="preserve">Dataset or row volume - unlike a data-processing product, cataloging cost doesn't scale meaningfully with row counts, so charging for it would misrepresent what the customer is paying for and reward hiding data rather than cataloging it.</w:t>
      </w:r>
    </w:p>
    <w:p>
      <w:pPr>
        <w:spacing w:after="160"/>
      </w:pPr>
      <w:r>
        <w:t xml:space="preserve">Annual billing carries an 18% discount versus monthly, consistent with standard SaaS practice and reflected in the tier table below.</w:t>
      </w:r>
    </w:p>
    <w:p>
      <w:pPr>
        <w:pStyle w:val="Heading1"/>
        <w:spacing w:after="160" w:before="360"/>
      </w:pPr>
      <w:r>
        <w:t xml:space="preserve">Proposed Tier Structure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200"/>
        <w:gridCol w:w="2100"/>
        <w:gridCol w:w="2860"/>
      </w:tblGrid>
      <w:tr>
        <w:tc>
          <w:tcPr>
            <w:tcW w:type="dxa" w:w="1600"/>
            <w:tcBorders>
              <w:top w:val="single" w:color="D1D5DB" w:sz="4"/>
              <w:left w:val="single" w:color="D1D5DB" w:sz="4"/>
              <w:bottom w:val="single" w:color="D1D5DB" w:sz="4"/>
              <w:right w:val="single" w:color="D1D5DB" w:sz="4"/>
            </w:tcBorders>
            <w:shd w:fill="111827" w:val="clear"/>
            <w:tcMar>
              <w:top w:type="dxa" w:w="100"/>
              <w:left w:type="dxa" w:w="120"/>
              <w:bottom w:type="dxa" w:w="100"/>
              <w:right w:type="dxa" w:w="120"/>
            </w:tcMar>
          </w:tcPr>
          <w:p>
            <w:r>
              <w:rPr>
                <w:b/>
                <w:bCs/>
                <w:color w:val="FFFFFF"/>
                <w:sz w:val="18"/>
                <w:szCs w:val="18"/>
              </w:rPr>
              <w:t xml:space="preserve">Tier</w:t>
            </w:r>
          </w:p>
        </w:tc>
        <w:tc>
          <w:tcPr>
            <w:tcW w:type="dxa" w:w="2600"/>
            <w:tcBorders>
              <w:top w:val="single" w:color="D1D5DB" w:sz="4"/>
              <w:left w:val="single" w:color="D1D5DB" w:sz="4"/>
              <w:bottom w:val="single" w:color="D1D5DB" w:sz="4"/>
              <w:right w:val="single" w:color="D1D5DB" w:sz="4"/>
            </w:tcBorders>
            <w:shd w:fill="111827" w:val="clear"/>
            <w:tcMar>
              <w:top w:type="dxa" w:w="100"/>
              <w:left w:type="dxa" w:w="120"/>
              <w:bottom w:type="dxa" w:w="100"/>
              <w:right w:type="dxa" w:w="120"/>
            </w:tcMar>
          </w:tcPr>
          <w:p>
            <w:r>
              <w:rPr>
                <w:b/>
                <w:bCs/>
                <w:color w:val="FFFFFF"/>
                <w:sz w:val="18"/>
                <w:szCs w:val="18"/>
              </w:rPr>
              <w:t xml:space="preserve">Price</w:t>
            </w:r>
          </w:p>
        </w:tc>
        <w:tc>
          <w:tcPr>
            <w:tcW w:type="dxa" w:w="1200"/>
            <w:tcBorders>
              <w:top w:val="single" w:color="D1D5DB" w:sz="4"/>
              <w:left w:val="single" w:color="D1D5DB" w:sz="4"/>
              <w:bottom w:val="single" w:color="D1D5DB" w:sz="4"/>
              <w:right w:val="single" w:color="D1D5DB" w:sz="4"/>
            </w:tcBorders>
            <w:shd w:fill="111827" w:val="clear"/>
            <w:tcMar>
              <w:top w:type="dxa" w:w="100"/>
              <w:left w:type="dxa" w:w="120"/>
              <w:bottom w:type="dxa" w:w="100"/>
              <w:right w:type="dxa" w:w="120"/>
            </w:tcMar>
          </w:tcPr>
          <w:p>
            <w:r>
              <w:rPr>
                <w:b/>
                <w:bCs/>
                <w:color w:val="FFFFFF"/>
                <w:sz w:val="18"/>
                <w:szCs w:val="18"/>
              </w:rPr>
              <w:t xml:space="preserve">Sources</w:t>
            </w:r>
          </w:p>
        </w:tc>
        <w:tc>
          <w:tcPr>
            <w:tcW w:type="dxa" w:w="2100"/>
            <w:tcBorders>
              <w:top w:val="single" w:color="D1D5DB" w:sz="4"/>
              <w:left w:val="single" w:color="D1D5DB" w:sz="4"/>
              <w:bottom w:val="single" w:color="D1D5DB" w:sz="4"/>
              <w:right w:val="single" w:color="D1D5DB" w:sz="4"/>
            </w:tcBorders>
            <w:shd w:fill="111827" w:val="clear"/>
            <w:tcMar>
              <w:top w:type="dxa" w:w="100"/>
              <w:left w:type="dxa" w:w="120"/>
              <w:bottom w:type="dxa" w:w="100"/>
              <w:right w:type="dxa" w:w="120"/>
            </w:tcMar>
          </w:tcPr>
          <w:p>
            <w:r>
              <w:rPr>
                <w:b/>
                <w:bCs/>
                <w:color w:val="FFFFFF"/>
                <w:sz w:val="18"/>
                <w:szCs w:val="18"/>
              </w:rPr>
              <w:t xml:space="preserve">Editor Seats Included</w:t>
            </w:r>
          </w:p>
        </w:tc>
        <w:tc>
          <w:tcPr>
            <w:tcW w:type="dxa" w:w="2860"/>
            <w:tcBorders>
              <w:top w:val="single" w:color="D1D5DB" w:sz="4"/>
              <w:left w:val="single" w:color="D1D5DB" w:sz="4"/>
              <w:bottom w:val="single" w:color="D1D5DB" w:sz="4"/>
              <w:right w:val="single" w:color="D1D5DB" w:sz="4"/>
            </w:tcBorders>
            <w:shd w:fill="111827" w:val="clear"/>
            <w:tcMar>
              <w:top w:type="dxa" w:w="100"/>
              <w:left w:type="dxa" w:w="120"/>
              <w:bottom w:type="dxa" w:w="100"/>
              <w:right w:type="dxa" w:w="120"/>
            </w:tcMar>
          </w:tcPr>
          <w:p>
            <w:r>
              <w:rPr>
                <w:b/>
                <w:bCs/>
                <w:color w:val="FFFFFF"/>
                <w:sz w:val="18"/>
                <w:szCs w:val="18"/>
              </w:rPr>
              <w:t xml:space="preserve">Best For</w:t>
            </w:r>
          </w:p>
        </w:tc>
      </w:tr>
      <w:tr>
        <w:tc>
          <w:tcPr>
            <w:tcW w:type="dxa" w:w="16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Starter</w:t>
            </w:r>
          </w:p>
        </w:tc>
        <w:tc>
          <w:tcPr>
            <w:tcW w:type="dxa" w:w="26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Free</w:t>
            </w:r>
          </w:p>
        </w:tc>
        <w:tc>
          <w:tcPr>
            <w:tcW w:type="dxa" w:w="12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1</w:t>
            </w:r>
          </w:p>
        </w:tc>
        <w:tc>
          <w:tcPr>
            <w:tcW w:type="dxa" w:w="21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1 (Admin)</w:t>
            </w:r>
          </w:p>
        </w:tc>
        <w:tc>
          <w:tcPr>
            <w:tcW w:type="dxa" w:w="286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Individual evaluation, first catalog of a single production database</w:t>
            </w:r>
          </w:p>
        </w:tc>
      </w:tr>
      <w:tr>
        <w:tc>
          <w:tcPr>
            <w:tcW w:type="dxa" w:w="16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Team</w:t>
            </w:r>
          </w:p>
        </w:tc>
        <w:tc>
          <w:tcPr>
            <w:tcW w:type="dxa" w:w="26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$99/mo ($82/mo billed annually)</w:t>
            </w:r>
          </w:p>
        </w:tc>
        <w:tc>
          <w:tcPr>
            <w:tcW w:type="dxa" w:w="12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Up to 5</w:t>
            </w:r>
          </w:p>
        </w:tc>
        <w:tc>
          <w:tcPr>
            <w:tcW w:type="dxa" w:w="21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5, then $15/seat/mo</w:t>
            </w:r>
          </w:p>
        </w:tc>
        <w:tc>
          <w:tcPr>
            <w:tcW w:type="dxa" w:w="286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A small data or ops team standing up governance for the first time</w:t>
            </w:r>
          </w:p>
        </w:tc>
      </w:tr>
      <w:tr>
        <w:tc>
          <w:tcPr>
            <w:tcW w:type="dxa" w:w="16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Business</w:t>
            </w:r>
          </w:p>
        </w:tc>
        <w:tc>
          <w:tcPr>
            <w:tcW w:type="dxa" w:w="26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$349/mo ($287/mo billed annually)</w:t>
            </w:r>
          </w:p>
        </w:tc>
        <w:tc>
          <w:tcPr>
            <w:tcW w:type="dxa" w:w="12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Up to 20</w:t>
            </w:r>
          </w:p>
        </w:tc>
        <w:tc>
          <w:tcPr>
            <w:tcW w:type="dxa" w:w="21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20, then $12/seat/mo</w:t>
            </w:r>
          </w:p>
        </w:tc>
        <w:tc>
          <w:tcPr>
            <w:tcW w:type="dxa" w:w="286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A growing company with several front-office + warehouse sources and cross-functional stewards</w:t>
            </w:r>
          </w:p>
        </w:tc>
      </w:tr>
      <w:tr>
        <w:tc>
          <w:tcPr>
            <w:tcW w:type="dxa" w:w="16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Enterprise</w:t>
            </w:r>
          </w:p>
        </w:tc>
        <w:tc>
          <w:tcPr>
            <w:tcW w:type="dxa" w:w="26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Custom - starting at ~$15,000/yr</w:t>
            </w:r>
          </w:p>
        </w:tc>
        <w:tc>
          <w:tcPr>
            <w:tcW w:type="dxa" w:w="12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Unlimited</w:t>
            </w:r>
          </w:p>
        </w:tc>
        <w:tc>
          <w:tcPr>
            <w:tcW w:type="dxa" w:w="21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Unlimited</w:t>
            </w:r>
          </w:p>
        </w:tc>
        <w:tc>
          <w:tcPr>
            <w:tcW w:type="dxa" w:w="286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Companies needing SSO/SAML, custom roles, VPC/on-prem deployment, or a security review</w:t>
            </w:r>
          </w:p>
        </w:tc>
      </w:tr>
    </w:tbl>
    <w:p>
      <w:pPr>
        <w:spacing w:after="160"/>
      </w:pPr>
      <w:r>
        <w:rPr>
          <w:i/>
          <w:iCs/>
        </w:rPr>
        <w:t xml:space="preserve">Viewer seats are unlimited and free on every tier above, including Starter.</w:t>
      </w:r>
    </w:p>
    <w:p>
      <w:pPr>
        <w:pStyle w:val="Heading1"/>
        <w:spacing w:after="160" w:before="360"/>
      </w:pPr>
      <w:r>
        <w:t xml:space="preserve">Feature-to-Tier Mapping</w:t>
      </w:r>
    </w:p>
    <w:p>
      <w:pPr>
        <w:spacing w:after="160"/>
      </w:pPr>
      <w:r>
        <w:t xml:space="preserve">Feature packaging follows what already exists in the product, so the tier boundary is a real capability line, not an artificial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200"/>
        <w:gridCol w:w="1200"/>
        <w:gridCol w:w="2160"/>
      </w:tblGrid>
      <w:tr>
        <w:tc>
          <w:tcPr>
            <w:tcW w:type="dxa" w:w="3600"/>
            <w:tcBorders>
              <w:top w:val="single" w:color="D1D5DB" w:sz="4"/>
              <w:left w:val="single" w:color="D1D5DB" w:sz="4"/>
              <w:bottom w:val="single" w:color="D1D5DB" w:sz="4"/>
              <w:right w:val="single" w:color="D1D5DB" w:sz="4"/>
            </w:tcBorders>
            <w:shd w:fill="111827" w:val="clear"/>
            <w:tcMar>
              <w:top w:type="dxa" w:w="100"/>
              <w:left w:type="dxa" w:w="120"/>
              <w:bottom w:type="dxa" w:w="100"/>
              <w:right w:type="dxa" w:w="120"/>
            </w:tcMar>
          </w:tcPr>
          <w:p>
            <w:r>
              <w:rPr>
                <w:b/>
                <w:bCs/>
                <w:color w:val="FFFFFF"/>
                <w:sz w:val="18"/>
                <w:szCs w:val="18"/>
              </w:rPr>
              <w:t xml:space="preserve">Capability</w:t>
            </w:r>
          </w:p>
        </w:tc>
        <w:tc>
          <w:tcPr>
            <w:tcW w:type="dxa" w:w="1200"/>
            <w:tcBorders>
              <w:top w:val="single" w:color="D1D5DB" w:sz="4"/>
              <w:left w:val="single" w:color="D1D5DB" w:sz="4"/>
              <w:bottom w:val="single" w:color="D1D5DB" w:sz="4"/>
              <w:right w:val="single" w:color="D1D5DB" w:sz="4"/>
            </w:tcBorders>
            <w:shd w:fill="111827" w:val="clear"/>
            <w:tcMar>
              <w:top w:type="dxa" w:w="100"/>
              <w:left w:type="dxa" w:w="120"/>
              <w:bottom w:type="dxa" w:w="100"/>
              <w:right w:type="dxa" w:w="120"/>
            </w:tcMar>
          </w:tcPr>
          <w:p>
            <w:r>
              <w:rPr>
                <w:b/>
                <w:bCs/>
                <w:color w:val="FFFFFF"/>
                <w:sz w:val="18"/>
                <w:szCs w:val="18"/>
              </w:rPr>
              <w:t xml:space="preserve">Starter</w:t>
            </w:r>
          </w:p>
        </w:tc>
        <w:tc>
          <w:tcPr>
            <w:tcW w:type="dxa" w:w="1200"/>
            <w:tcBorders>
              <w:top w:val="single" w:color="D1D5DB" w:sz="4"/>
              <w:left w:val="single" w:color="D1D5DB" w:sz="4"/>
              <w:bottom w:val="single" w:color="D1D5DB" w:sz="4"/>
              <w:right w:val="single" w:color="D1D5DB" w:sz="4"/>
            </w:tcBorders>
            <w:shd w:fill="111827" w:val="clear"/>
            <w:tcMar>
              <w:top w:type="dxa" w:w="100"/>
              <w:left w:type="dxa" w:w="120"/>
              <w:bottom w:type="dxa" w:w="100"/>
              <w:right w:type="dxa" w:w="120"/>
            </w:tcMar>
          </w:tcPr>
          <w:p>
            <w:r>
              <w:rPr>
                <w:b/>
                <w:bCs/>
                <w:color w:val="FFFFFF"/>
                <w:sz w:val="18"/>
                <w:szCs w:val="18"/>
              </w:rPr>
              <w:t xml:space="preserve">Team</w:t>
            </w:r>
          </w:p>
        </w:tc>
        <w:tc>
          <w:tcPr>
            <w:tcW w:type="dxa" w:w="1200"/>
            <w:tcBorders>
              <w:top w:val="single" w:color="D1D5DB" w:sz="4"/>
              <w:left w:val="single" w:color="D1D5DB" w:sz="4"/>
              <w:bottom w:val="single" w:color="D1D5DB" w:sz="4"/>
              <w:right w:val="single" w:color="D1D5DB" w:sz="4"/>
            </w:tcBorders>
            <w:shd w:fill="111827" w:val="clear"/>
            <w:tcMar>
              <w:top w:type="dxa" w:w="100"/>
              <w:left w:type="dxa" w:w="120"/>
              <w:bottom w:type="dxa" w:w="100"/>
              <w:right w:type="dxa" w:w="120"/>
            </w:tcMar>
          </w:tcPr>
          <w:p>
            <w:r>
              <w:rPr>
                <w:b/>
                <w:bCs/>
                <w:color w:val="FFFFFF"/>
                <w:sz w:val="18"/>
                <w:szCs w:val="18"/>
              </w:rPr>
              <w:t xml:space="preserve">Business</w:t>
            </w:r>
          </w:p>
        </w:tc>
        <w:tc>
          <w:tcPr>
            <w:tcW w:type="dxa" w:w="2160"/>
            <w:tcBorders>
              <w:top w:val="single" w:color="D1D5DB" w:sz="4"/>
              <w:left w:val="single" w:color="D1D5DB" w:sz="4"/>
              <w:bottom w:val="single" w:color="D1D5DB" w:sz="4"/>
              <w:right w:val="single" w:color="D1D5DB" w:sz="4"/>
            </w:tcBorders>
            <w:shd w:fill="111827" w:val="clear"/>
            <w:tcMar>
              <w:top w:type="dxa" w:w="100"/>
              <w:left w:type="dxa" w:w="120"/>
              <w:bottom w:type="dxa" w:w="100"/>
              <w:right w:type="dxa" w:w="120"/>
            </w:tcMar>
          </w:tcPr>
          <w:p>
            <w:r>
              <w:rPr>
                <w:b/>
                <w:bCs/>
                <w:color w:val="FFFFFF"/>
                <w:sz w:val="18"/>
                <w:szCs w:val="18"/>
              </w:rPr>
              <w:t xml:space="preserve">Enterprise</w:t>
            </w:r>
          </w:p>
        </w:tc>
      </w:tr>
      <w:tr>
        <w:tc>
          <w:tcPr>
            <w:tcW w:type="dxa" w:w="36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Catalog, dataset-level lineage, PII/DPDP auto-classification</w:t>
            </w:r>
          </w:p>
        </w:tc>
        <w:tc>
          <w:tcPr>
            <w:tcW w:type="dxa" w:w="12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Yes</w:t>
            </w:r>
          </w:p>
        </w:tc>
        <w:tc>
          <w:tcPr>
            <w:tcW w:type="dxa" w:w="12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Yes</w:t>
            </w:r>
          </w:p>
        </w:tc>
        <w:tc>
          <w:tcPr>
            <w:tcW w:type="dxa" w:w="12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Yes</w:t>
            </w:r>
          </w:p>
        </w:tc>
        <w:tc>
          <w:tcPr>
            <w:tcW w:type="dxa" w:w="216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Yes</w:t>
            </w:r>
          </w:p>
        </w:tc>
      </w:tr>
      <w:tr>
        <w:tc>
          <w:tcPr>
            <w:tcW w:type="dxa" w:w="36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Column-level lineage &amp; drill-down, data quality scoring</w:t>
            </w:r>
          </w:p>
        </w:tc>
        <w:tc>
          <w:tcPr>
            <w:tcW w:type="dxa" w:w="12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w:t>
            </w:r>
          </w:p>
        </w:tc>
        <w:tc>
          <w:tcPr>
            <w:tcW w:type="dxa" w:w="12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Yes</w:t>
            </w:r>
          </w:p>
        </w:tc>
        <w:tc>
          <w:tcPr>
            <w:tcW w:type="dxa" w:w="12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Yes</w:t>
            </w:r>
          </w:p>
        </w:tc>
        <w:tc>
          <w:tcPr>
            <w:tcW w:type="dxa" w:w="216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Yes</w:t>
            </w:r>
          </w:p>
        </w:tc>
      </w:tr>
      <w:tr>
        <w:tc>
          <w:tcPr>
            <w:tcW w:type="dxa" w:w="36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Business Glossary, Process Repository, Reference Data Repository</w:t>
            </w:r>
          </w:p>
        </w:tc>
        <w:tc>
          <w:tcPr>
            <w:tcW w:type="dxa" w:w="12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w:t>
            </w:r>
          </w:p>
        </w:tc>
        <w:tc>
          <w:tcPr>
            <w:tcW w:type="dxa" w:w="12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Yes</w:t>
            </w:r>
          </w:p>
        </w:tc>
        <w:tc>
          <w:tcPr>
            <w:tcW w:type="dxa" w:w="12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Yes</w:t>
            </w:r>
          </w:p>
        </w:tc>
        <w:tc>
          <w:tcPr>
            <w:tcW w:type="dxa" w:w="216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Yes</w:t>
            </w:r>
          </w:p>
        </w:tc>
      </w:tr>
      <w:tr>
        <w:tc>
          <w:tcPr>
            <w:tcW w:type="dxa" w:w="36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Data Contracts + certification workflow</w:t>
            </w:r>
          </w:p>
        </w:tc>
        <w:tc>
          <w:tcPr>
            <w:tcW w:type="dxa" w:w="12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w:t>
            </w:r>
          </w:p>
        </w:tc>
        <w:tc>
          <w:tcPr>
            <w:tcW w:type="dxa" w:w="12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Yes</w:t>
            </w:r>
          </w:p>
        </w:tc>
        <w:tc>
          <w:tcPr>
            <w:tcW w:type="dxa" w:w="12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Yes</w:t>
            </w:r>
          </w:p>
        </w:tc>
        <w:tc>
          <w:tcPr>
            <w:tcW w:type="dxa" w:w="216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Yes</w:t>
            </w:r>
          </w:p>
        </w:tc>
      </w:tr>
      <w:tr>
        <w:tc>
          <w:tcPr>
            <w:tcW w:type="dxa" w:w="36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Data Owner role (approval workflows), System of Record tagging</w:t>
            </w:r>
          </w:p>
        </w:tc>
        <w:tc>
          <w:tcPr>
            <w:tcW w:type="dxa" w:w="12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w:t>
            </w:r>
          </w:p>
        </w:tc>
        <w:tc>
          <w:tcPr>
            <w:tcW w:type="dxa" w:w="12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w:t>
            </w:r>
          </w:p>
        </w:tc>
        <w:tc>
          <w:tcPr>
            <w:tcW w:type="dxa" w:w="12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Yes</w:t>
            </w:r>
          </w:p>
        </w:tc>
        <w:tc>
          <w:tcPr>
            <w:tcW w:type="dxa" w:w="216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Yes</w:t>
            </w:r>
          </w:p>
        </w:tc>
      </w:tr>
      <w:tr>
        <w:tc>
          <w:tcPr>
            <w:tcW w:type="dxa" w:w="36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NL “Ask” assistant, governance maturity trend dashboards</w:t>
            </w:r>
          </w:p>
        </w:tc>
        <w:tc>
          <w:tcPr>
            <w:tcW w:type="dxa" w:w="12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w:t>
            </w:r>
          </w:p>
        </w:tc>
        <w:tc>
          <w:tcPr>
            <w:tcW w:type="dxa" w:w="12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Fair-use cap</w:t>
            </w:r>
          </w:p>
        </w:tc>
        <w:tc>
          <w:tcPr>
            <w:tcW w:type="dxa" w:w="12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Yes</w:t>
            </w:r>
          </w:p>
        </w:tc>
        <w:tc>
          <w:tcPr>
            <w:tcW w:type="dxa" w:w="216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Yes</w:t>
            </w:r>
          </w:p>
        </w:tc>
      </w:tr>
      <w:tr>
        <w:tc>
          <w:tcPr>
            <w:tcW w:type="dxa" w:w="36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Audit log retention</w:t>
            </w:r>
          </w:p>
        </w:tc>
        <w:tc>
          <w:tcPr>
            <w:tcW w:type="dxa" w:w="12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7 days</w:t>
            </w:r>
          </w:p>
        </w:tc>
        <w:tc>
          <w:tcPr>
            <w:tcW w:type="dxa" w:w="12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30 days</w:t>
            </w:r>
          </w:p>
        </w:tc>
        <w:tc>
          <w:tcPr>
            <w:tcW w:type="dxa" w:w="12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Unlimited + CSV export</w:t>
            </w:r>
          </w:p>
        </w:tc>
        <w:tc>
          <w:tcPr>
            <w:tcW w:type="dxa" w:w="216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Unlimited + CSV export</w:t>
            </w:r>
          </w:p>
        </w:tc>
      </w:tr>
      <w:tr>
        <w:tc>
          <w:tcPr>
            <w:tcW w:type="dxa" w:w="36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SSO / SAML, custom roles</w:t>
            </w:r>
          </w:p>
        </w:tc>
        <w:tc>
          <w:tcPr>
            <w:tcW w:type="dxa" w:w="12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w:t>
            </w:r>
          </w:p>
        </w:tc>
        <w:tc>
          <w:tcPr>
            <w:tcW w:type="dxa" w:w="12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w:t>
            </w:r>
          </w:p>
        </w:tc>
        <w:tc>
          <w:tcPr>
            <w:tcW w:type="dxa" w:w="12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Basic SSO</w:t>
            </w:r>
          </w:p>
        </w:tc>
        <w:tc>
          <w:tcPr>
            <w:tcW w:type="dxa" w:w="216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Full SSO/SAML + custom roles</w:t>
            </w:r>
          </w:p>
        </w:tc>
      </w:tr>
      <w:tr>
        <w:tc>
          <w:tcPr>
            <w:tcW w:type="dxa" w:w="36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Deployment</w:t>
            </w:r>
          </w:p>
        </w:tc>
        <w:tc>
          <w:tcPr>
            <w:tcW w:type="dxa" w:w="12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Shared cloud</w:t>
            </w:r>
          </w:p>
        </w:tc>
        <w:tc>
          <w:tcPr>
            <w:tcW w:type="dxa" w:w="12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Shared cloud</w:t>
            </w:r>
          </w:p>
        </w:tc>
        <w:tc>
          <w:tcPr>
            <w:tcW w:type="dxa" w:w="12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Shared cloud</w:t>
            </w:r>
          </w:p>
        </w:tc>
        <w:tc>
          <w:tcPr>
            <w:tcW w:type="dxa" w:w="216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Shared cloud or VPC/on-prem</w:t>
            </w:r>
          </w:p>
        </w:tc>
      </w:tr>
      <w:tr>
        <w:tc>
          <w:tcPr>
            <w:tcW w:type="dxa" w:w="36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Support</w:t>
            </w:r>
          </w:p>
        </w:tc>
        <w:tc>
          <w:tcPr>
            <w:tcW w:type="dxa" w:w="12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Community</w:t>
            </w:r>
          </w:p>
        </w:tc>
        <w:tc>
          <w:tcPr>
            <w:tcW w:type="dxa" w:w="12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Email</w:t>
            </w:r>
          </w:p>
        </w:tc>
        <w:tc>
          <w:tcPr>
            <w:tcW w:type="dxa" w:w="12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Priority + onboarding</w:t>
            </w:r>
          </w:p>
        </w:tc>
        <w:tc>
          <w:tcPr>
            <w:tcW w:type="dxa" w:w="216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Dedicated + SLA</w:t>
            </w:r>
          </w:p>
        </w:tc>
      </w:tr>
    </w:tbl>
    <w:p>
      <w:pPr>
        <w:pStyle w:val="Heading1"/>
        <w:spacing w:after="160" w:before="360"/>
      </w:pPr>
      <w:r>
        <w:t xml:space="preserve">Go-to-Market Notes</w:t>
      </w:r>
    </w:p>
    <w:p>
      <w:pPr>
        <w:pStyle w:val="ListParagraph"/>
        <w:numPr>
          <w:ilvl w:val="0"/>
          <w:numId w:val="2"/>
        </w:numPr>
        <w:spacing w:after="80"/>
      </w:pPr>
      <w:r>
        <w:t xml:space="preserve">Free tier as the funnel, not a lead gate. Starter should be fully self-serve with no sales contact required, mirroring Atlan's approach - the free tier is what gets a practitioner to actually connect a real source and feel the product, which is the moment that converts.</w:t>
      </w:r>
    </w:p>
    <w:p>
      <w:pPr>
        <w:pStyle w:val="ListParagraph"/>
        <w:numPr>
          <w:ilvl w:val="0"/>
          <w:numId w:val="2"/>
        </w:numPr>
        <w:spacing w:after="80"/>
      </w:pPr>
      <w:r>
        <w:t xml:space="preserve">Land-and-expand via source count, not seats. A customer naturally hits the 5-source or 20-source ceiling as they connect more of their real estate, which is a much lower-friction upgrade trigger than a seat negotiation and happens automatically as governance proves its value.</w:t>
      </w:r>
    </w:p>
    <w:p>
      <w:pPr>
        <w:pStyle w:val="ListParagraph"/>
        <w:numPr>
          <w:ilvl w:val="0"/>
          <w:numId w:val="2"/>
        </w:numPr>
        <w:spacing w:after="80"/>
      </w:pPr>
      <w:r>
        <w:t xml:space="preserve">90-day migration concierge. Since the real competitor for most prospects is a spreadsheet or nothing, not Collibra, offering free hands-on onboarding for the first 90 days (import existing documentation, set up the first few sources) removes the switching-cost objection that matters most to this buyer.</w:t>
      </w:r>
    </w:p>
    <w:p>
      <w:pPr>
        <w:pStyle w:val="ListParagraph"/>
        <w:numPr>
          <w:ilvl w:val="0"/>
          <w:numId w:val="2"/>
        </w:numPr>
        <w:spacing w:after="80"/>
      </w:pPr>
      <w:r>
        <w:t xml:space="preserve">Publish pricing. Every incumbent above requires a sales call to get a number. A public pricing page is a direct, low-cost differentiator for a self-serve buyer who has already been burned by an opaque Collibra or Informatica quote.</w:t>
      </w:r>
    </w:p>
    <w:p>
      <w:pPr>
        <w:pStyle w:val="ListParagraph"/>
        <w:numPr>
          <w:ilvl w:val="0"/>
          <w:numId w:val="2"/>
        </w:numPr>
        <w:spacing w:after="80"/>
      </w:pPr>
      <w:r>
        <w:t xml:space="preserve">Metered AI as a later lever, not a launch complexity. Atlan already prices its AI assistant as a separate per-user or usage add-on. Bundling Ichnos's Ask assistant into Team/Business with a fair-use cap keeps the initial pricing story simple; a metered add-on for heavy usage is a natural lever to introduce once usage data exists, not before.</w:t>
      </w:r>
    </w:p>
    <w:p>
      <w:pPr>
        <w:pStyle w:val="Heading1"/>
        <w:spacing w:after="160" w:before="360"/>
      </w:pPr>
      <w:r>
        <w:t xml:space="preserve">Illustrative Revenue Model</w:t>
      </w:r>
    </w:p>
    <w:p>
      <w:pPr>
        <w:spacing w:after="160"/>
      </w:pPr>
      <w:r>
        <w:t xml:space="preserve">A rough sense of how a small cohort lands across tiers, for internal planning only - not a forecast:</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600"/>
        <w:gridCol w:w="3760"/>
      </w:tblGrid>
      <w:tr>
        <w:tc>
          <w:tcPr>
            <w:tcW w:type="dxa" w:w="1800"/>
            <w:tcBorders>
              <w:top w:val="single" w:color="D1D5DB" w:sz="4"/>
              <w:left w:val="single" w:color="D1D5DB" w:sz="4"/>
              <w:bottom w:val="single" w:color="D1D5DB" w:sz="4"/>
              <w:right w:val="single" w:color="D1D5DB" w:sz="4"/>
            </w:tcBorders>
            <w:shd w:fill="111827" w:val="clear"/>
            <w:tcMar>
              <w:top w:type="dxa" w:w="100"/>
              <w:left w:type="dxa" w:w="120"/>
              <w:bottom w:type="dxa" w:w="100"/>
              <w:right w:type="dxa" w:w="120"/>
            </w:tcMar>
          </w:tcPr>
          <w:p>
            <w:r>
              <w:rPr>
                <w:b/>
                <w:bCs/>
                <w:color w:val="FFFFFF"/>
                <w:sz w:val="18"/>
                <w:szCs w:val="18"/>
              </w:rPr>
              <w:t xml:space="preserve">Tier</w:t>
            </w:r>
          </w:p>
        </w:tc>
        <w:tc>
          <w:tcPr>
            <w:tcW w:type="dxa" w:w="1800"/>
            <w:tcBorders>
              <w:top w:val="single" w:color="D1D5DB" w:sz="4"/>
              <w:left w:val="single" w:color="D1D5DB" w:sz="4"/>
              <w:bottom w:val="single" w:color="D1D5DB" w:sz="4"/>
              <w:right w:val="single" w:color="D1D5DB" w:sz="4"/>
            </w:tcBorders>
            <w:shd w:fill="111827" w:val="clear"/>
            <w:tcMar>
              <w:top w:type="dxa" w:w="100"/>
              <w:left w:type="dxa" w:w="120"/>
              <w:bottom w:type="dxa" w:w="100"/>
              <w:right w:type="dxa" w:w="120"/>
            </w:tcMar>
          </w:tcPr>
          <w:p>
            <w:r>
              <w:rPr>
                <w:b/>
                <w:bCs/>
                <w:color w:val="FFFFFF"/>
                <w:sz w:val="18"/>
                <w:szCs w:val="18"/>
              </w:rPr>
              <w:t xml:space="preserve">Assumed Mix</w:t>
            </w:r>
          </w:p>
        </w:tc>
        <w:tc>
          <w:tcPr>
            <w:tcW w:type="dxa" w:w="2600"/>
            <w:tcBorders>
              <w:top w:val="single" w:color="D1D5DB" w:sz="4"/>
              <w:left w:val="single" w:color="D1D5DB" w:sz="4"/>
              <w:bottom w:val="single" w:color="D1D5DB" w:sz="4"/>
              <w:right w:val="single" w:color="D1D5DB" w:sz="4"/>
            </w:tcBorders>
            <w:shd w:fill="111827" w:val="clear"/>
            <w:tcMar>
              <w:top w:type="dxa" w:w="100"/>
              <w:left w:type="dxa" w:w="120"/>
              <w:bottom w:type="dxa" w:w="100"/>
              <w:right w:type="dxa" w:w="120"/>
            </w:tcMar>
          </w:tcPr>
          <w:p>
            <w:r>
              <w:rPr>
                <w:b/>
                <w:bCs/>
                <w:color w:val="FFFFFF"/>
                <w:sz w:val="18"/>
                <w:szCs w:val="18"/>
              </w:rPr>
              <w:t xml:space="preserve">Annual Price</w:t>
            </w:r>
          </w:p>
        </w:tc>
        <w:tc>
          <w:tcPr>
            <w:tcW w:type="dxa" w:w="3760"/>
            <w:tcBorders>
              <w:top w:val="single" w:color="D1D5DB" w:sz="4"/>
              <w:left w:val="single" w:color="D1D5DB" w:sz="4"/>
              <w:bottom w:val="single" w:color="D1D5DB" w:sz="4"/>
              <w:right w:val="single" w:color="D1D5DB" w:sz="4"/>
            </w:tcBorders>
            <w:shd w:fill="111827" w:val="clear"/>
            <w:tcMar>
              <w:top w:type="dxa" w:w="100"/>
              <w:left w:type="dxa" w:w="120"/>
              <w:bottom w:type="dxa" w:w="100"/>
              <w:right w:type="dxa" w:w="120"/>
            </w:tcMar>
          </w:tcPr>
          <w:p>
            <w:r>
              <w:rPr>
                <w:b/>
                <w:bCs/>
                <w:color w:val="FFFFFF"/>
                <w:sz w:val="18"/>
                <w:szCs w:val="18"/>
              </w:rPr>
              <w:t xml:space="preserve">Blended ARR Contribution (100 customers)</w:t>
            </w:r>
          </w:p>
        </w:tc>
      </w:tr>
      <w:tr>
        <w:tc>
          <w:tcPr>
            <w:tcW w:type="dxa" w:w="18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Starter (free)</w:t>
            </w:r>
          </w:p>
        </w:tc>
        <w:tc>
          <w:tcPr>
            <w:tcW w:type="dxa" w:w="18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40%</w:t>
            </w:r>
          </w:p>
        </w:tc>
        <w:tc>
          <w:tcPr>
            <w:tcW w:type="dxa" w:w="26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$0</w:t>
            </w:r>
          </w:p>
        </w:tc>
        <w:tc>
          <w:tcPr>
            <w:tcW w:type="dxa" w:w="376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$0</w:t>
            </w:r>
          </w:p>
        </w:tc>
      </w:tr>
      <w:tr>
        <w:tc>
          <w:tcPr>
            <w:tcW w:type="dxa" w:w="18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Team</w:t>
            </w:r>
          </w:p>
        </w:tc>
        <w:tc>
          <w:tcPr>
            <w:tcW w:type="dxa" w:w="18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35%</w:t>
            </w:r>
          </w:p>
        </w:tc>
        <w:tc>
          <w:tcPr>
            <w:tcW w:type="dxa" w:w="26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$1,188 (annual billing)</w:t>
            </w:r>
          </w:p>
        </w:tc>
        <w:tc>
          <w:tcPr>
            <w:tcW w:type="dxa" w:w="376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$41,580</w:t>
            </w:r>
          </w:p>
        </w:tc>
      </w:tr>
      <w:tr>
        <w:tc>
          <w:tcPr>
            <w:tcW w:type="dxa" w:w="18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Business</w:t>
            </w:r>
          </w:p>
        </w:tc>
        <w:tc>
          <w:tcPr>
            <w:tcW w:type="dxa" w:w="18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20%</w:t>
            </w:r>
          </w:p>
        </w:tc>
        <w:tc>
          <w:tcPr>
            <w:tcW w:type="dxa" w:w="26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$4,188 (annual billing)</w:t>
            </w:r>
          </w:p>
        </w:tc>
        <w:tc>
          <w:tcPr>
            <w:tcW w:type="dxa" w:w="376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$83,760</w:t>
            </w:r>
          </w:p>
        </w:tc>
      </w:tr>
      <w:tr>
        <w:tc>
          <w:tcPr>
            <w:tcW w:type="dxa" w:w="18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Enterprise</w:t>
            </w:r>
          </w:p>
        </w:tc>
        <w:tc>
          <w:tcPr>
            <w:tcW w:type="dxa" w:w="18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5%</w:t>
            </w:r>
          </w:p>
        </w:tc>
        <w:tc>
          <w:tcPr>
            <w:tcW w:type="dxa" w:w="26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$15,000+ (avg. assumed $22,000)</w:t>
            </w:r>
          </w:p>
        </w:tc>
        <w:tc>
          <w:tcPr>
            <w:tcW w:type="dxa" w:w="376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$110,000</w:t>
            </w:r>
          </w:p>
        </w:tc>
      </w:tr>
    </w:tbl>
    <w:p>
      <w:pPr>
        <w:spacing w:after="160"/>
      </w:pPr>
      <w:r>
        <w:rPr>
          <w:i w:val="false"/>
          <w:iCs w:val="false"/>
        </w:rPr>
        <w:t xml:space="preserve">Even a heavily free-weighted cohort (a deliberate choice, since the free tier is the acquisition engine) produces roughly $235,000 in blended ARR per 100 signups under these assumptions, with Enterprise accounts - despite being only 5% of volume - contributing disproportionately once a company outgrows Business. The model should be revisited once real conversion data from the free tier exists; the 40% free-tier assumption in particular is a placeholder pending actual usage.</w:t>
      </w:r>
    </w:p>
    <w:p>
      <w:pPr>
        <w:pStyle w:val="Heading1"/>
        <w:spacing w:after="160" w:before="360"/>
      </w:pPr>
      <w:r>
        <w:t xml:space="preserve">Open Questions for the Business Owner</w:t>
      </w:r>
    </w:p>
    <w:p>
      <w:pPr>
        <w:pStyle w:val="ListParagraph"/>
        <w:numPr>
          <w:ilvl w:val="0"/>
          <w:numId w:val="2"/>
        </w:numPr>
        <w:spacing w:after="80"/>
      </w:pPr>
      <w:r>
        <w:t xml:space="preserve">Whether to cap Starter's dataset count in addition to source count (proposed: 25 datasets) to keep it a genuine evaluation tier rather than a permanently-free production deployment for a very small company.</w:t>
      </w:r>
    </w:p>
    <w:p>
      <w:pPr>
        <w:pStyle w:val="ListParagraph"/>
        <w:numPr>
          <w:ilvl w:val="0"/>
          <w:numId w:val="2"/>
        </w:numPr>
        <w:spacing w:after="80"/>
      </w:pPr>
      <w:r>
        <w:t xml:space="preserve">Whether Enterprise's “starting at $15,000/yr” anchor is aggressive enough given Collibra/Informatica prospects arrive expecting six figures, or too aggressive given the cost of dedicated support and SLA commitments.</w:t>
      </w:r>
    </w:p>
    <w:p>
      <w:pPr>
        <w:pStyle w:val="ListParagraph"/>
        <w:numPr>
          <w:ilvl w:val="0"/>
          <w:numId w:val="2"/>
        </w:numPr>
        <w:spacing w:after="80"/>
      </w:pPr>
      <w:r>
        <w:t xml:space="preserve">Timing for introducing metered AI/Ask pricing once usage data exists, and whether that should be a Business-tier upsell or a universal add-on.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2026-07-23T10:37:08.411Z</dcterms:created>
  <dcterms:modified xsi:type="dcterms:W3CDTF">2026-07-23T10:37:08.411Z</dcterms:modified>
</cp:coreProperties>
</file>

<file path=docProps/custom.xml><?xml version="1.0" encoding="utf-8"?>
<Properties xmlns="http://schemas.openxmlformats.org/officeDocument/2006/custom-properties" xmlns:vt="http://schemas.openxmlformats.org/officeDocument/2006/docPropsVTypes"/>
</file>