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DataFe</w:t>
      </w:r>
    </w:p>
    <w:p>
      <w:pPr>
        <w:spacing w:after="40"/>
      </w:pPr>
      <w:r>
        <w:rPr>
          <w:color w:val="6A6577"/>
          <w:sz w:val="32"/>
          <w:szCs w:val="32"/>
        </w:rPr>
        <w:t xml:space="preserve">Brand Guidelines</w:t>
      </w:r>
    </w:p>
    <w:p>
      <w:pPr>
        <w:spacing w:after="300"/>
      </w:pPr>
      <w:r>
        <w:rPr>
          <w:color w:val="6A6577"/>
          <w:sz w:val="20"/>
          <w:szCs w:val="20"/>
        </w:rPr>
        <w:t xml:space="preserve">July 2026</w:t>
      </w:r>
    </w:p>
    <w:p>
      <w:pPr>
        <w:pStyle w:val="Heading1"/>
        <w:spacing w:after="150" w:before="300"/>
      </w:pPr>
      <w:r>
        <w:t xml:space="preserve">1. Name &amp; Story</w:t>
      </w:r>
    </w:p>
    <w:p>
      <w:pPr>
        <w:spacing w:after="120"/>
      </w:pPr>
      <w:r>
        <w:t xml:space="preserve">The name “DataFe” combines “fe” (Spanish/Portuguese for “faith”) with “Data”: have faith in your data. The mark reinforces this with a second layer of meaning — “Fe” is also iron’s symbol on the periodic table, set inside a hexagon that echoes a periodic-table tile. It reads as an element mark: data governance as a foundational, backbone element of a company, the same way iron is foundational to steel.</w:t>
      </w:r>
    </w:p>
    <w:p>
      <w:pPr>
        <w:spacing w:after="120"/>
      </w:pPr>
      <w:r>
        <w:t xml:space="preserve">Always write the product name as one word, DataFe — capital D, capital F, no space, no hyphen. Not Data Fe, not datafe (except where a URL or code identifier forces lowercase, e.g. datafetech.com).</w:t>
      </w:r>
    </w:p>
    <w:p>
      <w:pPr>
        <w:spacing w:after="120"/>
      </w:pPr>
      <w:r>
        <w:rPr>
          <w:b/>
          <w:bCs/>
        </w:rPr>
        <w:t xml:space="preserve">Known gap: </w:t>
      </w:r>
      <w:r>
        <w:t xml:space="preserve">the GitHub repository is still literally named “ichnos” — DataFe’s working name before the rebrand. The product and all customer-facing surfaces are DataFe throughout; only the repo URL itself hasn’t been renamed yet (tracked in docs/13_Roadmap.md backlog).</w:t>
      </w:r>
    </w:p>
    <w:p>
      <w:pPr>
        <w:pStyle w:val="Heading1"/>
        <w:spacing w:after="150" w:before="300"/>
      </w:pPr>
      <w:r>
        <w:t xml:space="preserve">2. Logo</w:t>
      </w:r>
    </w:p>
    <w:p>
      <w:pPr>
        <w:spacing w:after="120"/>
      </w:pPr>
      <w:r>
        <w:t xml:space="preserve">The mark is a dark squircle containing a copper hexagon outline with “Fe” set inside — always used together with the wordmark “DataFe” in normal use (see frontend/src/components/DataFeLogo.tsx and website/index.html for the canonical SVG, kept in sync across the app and marketing site so there is exactly one logo, not two).</w:t>
      </w:r>
    </w:p>
    <w:p>
      <w:pPr>
        <w:pStyle w:val="Heading2"/>
        <w:spacing w:after="120" w:before="240"/>
      </w:pPr>
      <w:r>
        <w:t xml:space="preserve">Logo colors (fixed — do not substitute)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Squircle background: #14121F (ink)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Hexagon outline + “Fe” text: #C17845 (copper)</w:t>
      </w:r>
    </w:p>
    <w:p>
      <w:pPr>
        <w:spacing w:after="120"/>
      </w:pPr>
      <w:r>
        <w:t xml:space="preserve">Copper is reserved exclusively for the logo mark. It does not appear anywhere else in the UI or marketing site — do not use it as a general accent, button, or highlight color. This keeps the mark recognizable as the mark, not just another swatch from the palette.</w:t>
      </w:r>
    </w:p>
    <w:p>
      <w:pPr>
        <w:pStyle w:val="Heading2"/>
        <w:spacing w:after="120" w:before="240"/>
      </w:pPr>
      <w:r>
        <w:t xml:space="preserve">Usage rules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Never recolor the mark, even to match a page's color scheme.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Never stretch or skew — it's always a 1:1 square (viewBox 0 0 64 64).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clear space around the mark at least equal to the hexagon's own width.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Minimum size: 20px on screen. Below that, the “Fe” text stops being legible.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 a dark background, the mark's own dark squircle can look muddy — prefer the icon-only mark with a light halo, or the wordmark alone, rather than forcing the default version onto dark.</w:t>
      </w:r>
    </w:p>
    <w:p>
      <w:pPr>
        <w:pStyle w:val="Heading1"/>
        <w:spacing w:after="150" w:before="300"/>
      </w:pPr>
      <w:r>
        <w:t xml:space="preserve">3. Color Palette</w:t>
      </w:r>
    </w:p>
    <w:p>
      <w:pPr>
        <w:spacing w:after="120"/>
      </w:pPr>
      <w:r>
        <w:t xml:space="preserve">Defined once as CSS variables in website/index.html and reused consistently. Full palette:</w:t>
      </w:r>
    </w:p>
    <w:tbl>
      <w:tblPr>
        <w:tblW w:type="dxa" w:w="105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4130"/>
      </w:tblGrid>
      <w:tr>
        <w:trPr>
          <w:tblHeader/>
        </w:trPr>
        <w:tc>
          <w:tcPr>
            <w:tcW w:type="dxa" w:w="2400"/>
            <w:shd w:fill="14121F" w:val="clea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000"/>
            <w:shd w:fill="14121F" w:val="clear"/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2000"/>
            <w:shd w:fill="14121F" w:val="clear"/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4130"/>
            <w:shd w:fill="14121F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2400"/>
            <w:shd w:fill="14121F" w:val="clear"/>
          </w:tcPr>
          <w:p>
            <w:r>
              <w:rPr>
                <w:b/>
                <w:bCs/>
                <w:color w:val="FFFFFF"/>
              </w:rPr>
              <w:t xml:space="preserve">ink</w:t>
            </w:r>
          </w:p>
        </w:tc>
        <w:tc>
          <w:tcPr>
            <w:tcW w:type="dxa" w:w="2000"/>
          </w:tcPr>
          <w:p>
            <w:r>
              <w:t xml:space="preserve">#14121F</w:t>
            </w:r>
          </w:p>
        </w:tc>
        <w:tc>
          <w:tcPr>
            <w:tcW w:type="dxa" w:w="2000"/>
          </w:tcPr>
          <w:p>
            <w:r>
              <w:t xml:space="preserve"/>
            </w:r>
          </w:p>
        </w:tc>
        <w:tc>
          <w:tcPr>
            <w:tcW w:type="dxa" w:w="4130"/>
          </w:tcPr>
          <w:p>
            <w:r>
              <w:t xml:space="preserve">Primary text; dark backgrounds/header.</w:t>
            </w:r>
          </w:p>
        </w:tc>
      </w:tr>
      <w:tr>
        <w:tc>
          <w:tcPr>
            <w:tcW w:type="dxa" w:w="2400"/>
            <w:shd w:fill="FBF8F2" w:val="clear"/>
          </w:tcPr>
          <w:p>
            <w:r>
              <w:rPr>
                <w:b/>
                <w:bCs/>
                <w:color w:val="000000"/>
              </w:rPr>
              <w:t xml:space="preserve">paper</w:t>
            </w:r>
          </w:p>
        </w:tc>
        <w:tc>
          <w:tcPr>
            <w:tcW w:type="dxa" w:w="2000"/>
          </w:tcPr>
          <w:p>
            <w:r>
              <w:t xml:space="preserve">#FBF8F2</w:t>
            </w:r>
          </w:p>
        </w:tc>
        <w:tc>
          <w:tcPr>
            <w:tcW w:type="dxa" w:w="2000"/>
          </w:tcPr>
          <w:p>
            <w:r>
              <w:t xml:space="preserve"/>
            </w:r>
          </w:p>
        </w:tc>
        <w:tc>
          <w:tcPr>
            <w:tcW w:type="dxa" w:w="4130"/>
          </w:tcPr>
          <w:p>
            <w:r>
              <w:t xml:space="preserve">Primary page background — warm off-white, not pure white.</w:t>
            </w:r>
          </w:p>
        </w:tc>
      </w:tr>
      <w:tr>
        <w:tc>
          <w:tcPr>
            <w:tcW w:type="dxa" w:w="2400"/>
            <w:shd w:fill="6C4CF1" w:val="clear"/>
          </w:tcPr>
          <w:p>
            <w:r>
              <w:rPr>
                <w:b/>
                <w:bCs/>
                <w:color w:val="FFFFFF"/>
              </w:rPr>
              <w:t xml:space="preserve">purple</w:t>
            </w:r>
          </w:p>
        </w:tc>
        <w:tc>
          <w:tcPr>
            <w:tcW w:type="dxa" w:w="2000"/>
          </w:tcPr>
          <w:p>
            <w:r>
              <w:t xml:space="preserve">#6C4CF1</w:t>
            </w:r>
          </w:p>
        </w:tc>
        <w:tc>
          <w:tcPr>
            <w:tcW w:type="dxa" w:w="2000"/>
          </w:tcPr>
          <w:p>
            <w:r>
              <w:t xml:space="preserve"/>
            </w:r>
          </w:p>
        </w:tc>
        <w:tc>
          <w:tcPr>
            <w:tcW w:type="dxa" w:w="4130"/>
          </w:tcPr>
          <w:p>
            <w:r>
              <w:t xml:space="preserve">Primary brand accent — CTAs, links, primary buttons.</w:t>
            </w:r>
          </w:p>
        </w:tc>
      </w:tr>
      <w:tr>
        <w:tc>
          <w:tcPr>
            <w:tcW w:type="dxa" w:w="2400"/>
            <w:shd w:fill="4B2FD6" w:val="clear"/>
          </w:tcPr>
          <w:p>
            <w:r>
              <w:rPr>
                <w:b/>
                <w:bCs/>
                <w:color w:val="FFFFFF"/>
              </w:rPr>
              <w:t xml:space="preserve">purple-dark</w:t>
            </w:r>
          </w:p>
        </w:tc>
        <w:tc>
          <w:tcPr>
            <w:tcW w:type="dxa" w:w="2000"/>
          </w:tcPr>
          <w:p>
            <w:r>
              <w:t xml:space="preserve">#4B2FD6</w:t>
            </w:r>
          </w:p>
        </w:tc>
        <w:tc>
          <w:tcPr>
            <w:tcW w:type="dxa" w:w="2000"/>
          </w:tcPr>
          <w:p>
            <w:r>
              <w:t xml:space="preserve"/>
            </w:r>
          </w:p>
        </w:tc>
        <w:tc>
          <w:tcPr>
            <w:tcW w:type="dxa" w:w="4130"/>
          </w:tcPr>
          <w:p>
            <w:r>
              <w:t xml:space="preserve">Gradient partner to purple; hover/pressed states.</w:t>
            </w:r>
          </w:p>
        </w:tc>
      </w:tr>
      <w:tr>
        <w:tc>
          <w:tcPr>
            <w:tcW w:type="dxa" w:w="2400"/>
            <w:shd w:fill="FF6FAE" w:val="clear"/>
          </w:tcPr>
          <w:p>
            <w:r>
              <w:rPr>
                <w:b/>
                <w:bCs/>
                <w:color w:val="FFFFFF"/>
              </w:rPr>
              <w:t xml:space="preserve">pink</w:t>
            </w:r>
          </w:p>
        </w:tc>
        <w:tc>
          <w:tcPr>
            <w:tcW w:type="dxa" w:w="2000"/>
          </w:tcPr>
          <w:p>
            <w:r>
              <w:t xml:space="preserve">#FF6FAE</w:t>
            </w:r>
          </w:p>
        </w:tc>
        <w:tc>
          <w:tcPr>
            <w:tcW w:type="dxa" w:w="2000"/>
          </w:tcPr>
          <w:p>
            <w:r>
              <w:t xml:space="preserve"/>
            </w:r>
          </w:p>
        </w:tc>
        <w:tc>
          <w:tcPr>
            <w:tcW w:type="dxa" w:w="4130"/>
          </w:tcPr>
          <w:p>
            <w:r>
              <w:t xml:space="preserve">Secondary accent — tags, illustrations, variety in data-viz.</w:t>
            </w:r>
          </w:p>
        </w:tc>
      </w:tr>
      <w:tr>
        <w:tc>
          <w:tcPr>
            <w:tcW w:type="dxa" w:w="2400"/>
            <w:shd w:fill="FFCF4D" w:val="clear"/>
          </w:tcPr>
          <w:p>
            <w:r>
              <w:rPr>
                <w:b/>
                <w:bCs/>
                <w:color w:val="000000"/>
              </w:rPr>
              <w:t xml:space="preserve">yellow</w:t>
            </w:r>
          </w:p>
        </w:tc>
        <w:tc>
          <w:tcPr>
            <w:tcW w:type="dxa" w:w="2000"/>
          </w:tcPr>
          <w:p>
            <w:r>
              <w:t xml:space="preserve">#FFCF4D</w:t>
            </w:r>
          </w:p>
        </w:tc>
        <w:tc>
          <w:tcPr>
            <w:tcW w:type="dxa" w:w="2000"/>
          </w:tcPr>
          <w:p>
            <w:r>
              <w:t xml:space="preserve"/>
            </w:r>
          </w:p>
        </w:tc>
        <w:tc>
          <w:tcPr>
            <w:tcW w:type="dxa" w:w="4130"/>
          </w:tcPr>
          <w:p>
            <w:r>
              <w:t xml:space="preserve">Secondary accent — same role as pink, for contrast in groups of 3+.</w:t>
            </w:r>
          </w:p>
        </w:tc>
      </w:tr>
      <w:tr>
        <w:tc>
          <w:tcPr>
            <w:tcW w:type="dxa" w:w="2400"/>
            <w:shd w:fill="20C9A6" w:val="clear"/>
          </w:tcPr>
          <w:p>
            <w:r>
              <w:rPr>
                <w:b/>
                <w:bCs/>
                <w:color w:val="FFFFFF"/>
              </w:rPr>
              <w:t xml:space="preserve">teal</w:t>
            </w:r>
          </w:p>
        </w:tc>
        <w:tc>
          <w:tcPr>
            <w:tcW w:type="dxa" w:w="2000"/>
          </w:tcPr>
          <w:p>
            <w:r>
              <w:t xml:space="preserve">#20C9A6</w:t>
            </w:r>
          </w:p>
        </w:tc>
        <w:tc>
          <w:tcPr>
            <w:tcW w:type="dxa" w:w="2000"/>
          </w:tcPr>
          <w:p>
            <w:r>
              <w:t xml:space="preserve"/>
            </w:r>
          </w:p>
        </w:tc>
        <w:tc>
          <w:tcPr>
            <w:tcW w:type="dxa" w:w="4130"/>
          </w:tcPr>
          <w:p>
            <w:r>
              <w:t xml:space="preserve">Secondary accent — same role as pink/yellow.</w:t>
            </w:r>
          </w:p>
        </w:tc>
      </w:tr>
      <w:tr>
        <w:tc>
          <w:tcPr>
            <w:tcW w:type="dxa" w:w="2400"/>
            <w:shd w:fill="E7E2D6" w:val="clear"/>
          </w:tcPr>
          <w:p>
            <w:r>
              <w:rPr>
                <w:b/>
                <w:bCs/>
                <w:color w:val="FFFFFF"/>
              </w:rPr>
              <w:t xml:space="preserve">line</w:t>
            </w:r>
          </w:p>
        </w:tc>
        <w:tc>
          <w:tcPr>
            <w:tcW w:type="dxa" w:w="2000"/>
          </w:tcPr>
          <w:p>
            <w:r>
              <w:t xml:space="preserve">#E7E2D6</w:t>
            </w:r>
          </w:p>
        </w:tc>
        <w:tc>
          <w:tcPr>
            <w:tcW w:type="dxa" w:w="2000"/>
          </w:tcPr>
          <w:p>
            <w:r>
              <w:t xml:space="preserve"/>
            </w:r>
          </w:p>
        </w:tc>
        <w:tc>
          <w:tcPr>
            <w:tcW w:type="dxa" w:w="4130"/>
          </w:tcPr>
          <w:p>
            <w:r>
              <w:t xml:space="preserve">Borders, dividers, subtle separators.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  <w:color w:val="000000"/>
              </w:rPr>
              <w:t xml:space="preserve">card</w:t>
            </w:r>
          </w:p>
        </w:tc>
        <w:tc>
          <w:tcPr>
            <w:tcW w:type="dxa" w:w="2000"/>
          </w:tcPr>
          <w:p>
            <w:r>
              <w:t xml:space="preserve">#FFFFFF</w:t>
            </w:r>
          </w:p>
        </w:tc>
        <w:tc>
          <w:tcPr>
            <w:tcW w:type="dxa" w:w="2000"/>
          </w:tcPr>
          <w:p>
            <w:r>
              <w:t xml:space="preserve"/>
            </w:r>
          </w:p>
        </w:tc>
        <w:tc>
          <w:tcPr>
            <w:tcW w:type="dxa" w:w="4130"/>
          </w:tcPr>
          <w:p>
            <w:r>
              <w:t xml:space="preserve">Card/surface background on top of paper.</w:t>
            </w:r>
          </w:p>
        </w:tc>
      </w:tr>
      <w:tr>
        <w:tc>
          <w:tcPr>
            <w:tcW w:type="dxa" w:w="2400"/>
            <w:shd w:fill="6A6577" w:val="clear"/>
          </w:tcPr>
          <w:p>
            <w:r>
              <w:rPr>
                <w:b/>
                <w:bCs/>
                <w:color w:val="FFFFFF"/>
              </w:rPr>
              <w:t xml:space="preserve">muted</w:t>
            </w:r>
          </w:p>
        </w:tc>
        <w:tc>
          <w:tcPr>
            <w:tcW w:type="dxa" w:w="2000"/>
          </w:tcPr>
          <w:p>
            <w:r>
              <w:t xml:space="preserve">#6A6577</w:t>
            </w:r>
          </w:p>
        </w:tc>
        <w:tc>
          <w:tcPr>
            <w:tcW w:type="dxa" w:w="2000"/>
          </w:tcPr>
          <w:p>
            <w:r>
              <w:t xml:space="preserve"/>
            </w:r>
          </w:p>
        </w:tc>
        <w:tc>
          <w:tcPr>
            <w:tcW w:type="dxa" w:w="4130"/>
          </w:tcPr>
          <w:p>
            <w:r>
              <w:t xml:space="preserve">Secondary/de-emphasized text.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Purple is the one primary accent — it's what should carry brand recognition on its own (a button, a link, a highlighted stat). Pink/yellow/teal are a supporting trio, meant to be used together in groups (e.g. three feature icons, three data tags) rather than any one of them standing in alone for purple.</w:t>
      </w:r>
    </w:p>
    <w:p>
      <w:pPr>
        <w:pStyle w:val="Heading1"/>
        <w:spacing w:after="150" w:before="300"/>
      </w:pPr>
      <w:r>
        <w:t xml:space="preserve">4. Typography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Display / headings: Unbounded, weights 500/600/700.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Body copy: Poppins, weights 400–800.</w:t>
      </w:r>
    </w:p>
    <w:p>
      <w:pPr>
        <w:spacing w:after="120"/>
      </w:pPr>
      <w:r>
        <w:t xml:space="preserve">Both loaded from Google Fonts in website/index.html. Headings in Unbounded read slightly geometric/technical, which is deliberate — it's what keeps the brand from reading as a generic SaaS template despite the friendly color palette.</w:t>
      </w:r>
    </w:p>
    <w:p>
      <w:pPr>
        <w:pStyle w:val="Heading1"/>
        <w:spacing w:after="150" w:before="300"/>
      </w:pPr>
      <w:r>
        <w:t xml:space="preserve">5. Voice &amp; Tone</w:t>
      </w:r>
    </w:p>
    <w:p>
      <w:pPr>
        <w:spacing w:after="120"/>
      </w:pPr>
      <w:r>
        <w:t xml:space="preserve">Confident and plainspoken, not corporate. DataFe talks to the practitioner doing the work — a data or ops lead — not to a procurement committee. A little wry is fine; flippant about real problems (PII exposure, compliance) is not.</w:t>
      </w:r>
    </w:p>
    <w:p>
      <w:pPr>
        <w:pStyle w:val="Heading2"/>
        <w:spacing w:after="120" w:before="240"/>
      </w:pPr>
      <w:r>
        <w:t xml:space="preserve">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 the actual pain in plain language: “No more tribal knowledge. No more ‘who owns this?’ Slack threads.”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 concrete over abstract: “73% less time spent finding data” beats “dramatically improve efficiency.”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light humor sparingly, aimed at the problem, never the customer: “Cancel the tribal knowledge, not just the plan.”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Say what the product actually does before what it “empowers” or “unlocks.”</w:t>
      </w:r>
    </w:p>
    <w:p>
      <w:pPr>
        <w:pStyle w:val="Heading2"/>
        <w:spacing w:after="120" w:before="240"/>
      </w:pPr>
      <w:r>
        <w:t xml:space="preserve">Don't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Don't use enterprise-jargon padding: “leverage,” “synergy,” “end-to-end solution,” “best-in-class.”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Don't oversell certainty on compliance topics — DataFe helps with DPDP/GDPR-style governance, it doesn't itself make a company “compliant.” Legal pages (terms/privacy/DPA) stay precise and hedged, not marketing-voiced.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Don't punch down at competitors by name in customer-facing copy — competitive positioning (see docs/DataFe_Pricing_Strategy.docx) is for internal strategy, not public jabs.</w:t>
      </w:r>
    </w:p>
    <w:p>
      <w:pPr>
        <w:pStyle w:val="Heading1"/>
        <w:spacing w:after="150" w:before="300"/>
      </w:pPr>
      <w:r>
        <w:t xml:space="preserve">6. Where This Lives in Code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Logo SVG: frontend/src/components/DataFeLogo.tsx (app) and website/index.html + website/favicon.svg (marketing site) — keep these in sync.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Color variables: website/index.html's :root CSS custom properties.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Marketing copy voice: website/index.html is the reference for tone — when in doubt, match its register.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Legal pages (different, more formal register): website/terms.html, privacy.html, dpa.html, trust.html.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2026-07-27T19:55:44.356Z</dcterms:created>
  <dcterms:modified xsi:type="dcterms:W3CDTF">2026-07-27T19:55:44.357Z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