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color w:val="B00020"/>
        </w:rPr>
        <w:t xml:space="preserve">TEMPLATE - NOT LEGAL ADVICE</w:t>
      </w:r>
    </w:p>
    <w:p>
      <w:pPr>
        <w:spacing w:after="140"/>
        <w:jc w:val="center"/>
      </w:pPr>
      <w:r>
        <w:t xml:space="preserve">This is a starting draft for discussion purposes only, not a reviewed legal document. Have a qualified lawyer licensed in your jurisdiction review and, if needed, revise this before sending it to any prospect or counterparty for signature. Fields in </w:t>
      </w:r>
      <w:r>
        <w:rPr>
          <w:b/>
          <w:bCs/>
          <w:highlight w:val="yellow"/>
          <w:highlightCs w:val="yellow"/>
        </w:rPr>
        <w:t xml:space="preserve">[brackets]</w:t>
      </w:r>
      <w:r>
        <w:t xml:space="preserve"> must be filled in (or removed if not applicable) before use.</w:t>
      </w:r>
    </w:p>
    <w:p>
      <w:pPr>
        <w:spacing w:after="200"/>
      </w:pPr>
    </w:p>
    <w:p>
      <w:pPr>
        <w:pStyle w:val="Title"/>
        <w:spacing w:after="300"/>
        <w:jc w:val="center"/>
      </w:pPr>
      <w:r>
        <w:t xml:space="preserve">Mutual Non-Disclosure Agreement</w:t>
      </w:r>
    </w:p>
    <w:p>
      <w:pPr>
        <w:spacing w:after="140"/>
      </w:pPr>
      <w:r>
        <w:t xml:space="preserve">This Mutual Non-Disclosure Agreement (“Agreement”) is entered into as of </w:t>
      </w:r>
      <w:r>
        <w:rPr>
          <w:b/>
          <w:bCs/>
          <w:highlight w:val="yellow"/>
          <w:highlightCs w:val="yellow"/>
        </w:rPr>
        <w:t xml:space="preserve">[Effective Date]</w:t>
      </w:r>
      <w:r>
        <w:t xml:space="preserve">, by and between </w:t>
      </w:r>
      <w:r>
        <w:rPr>
          <w:b/>
          <w:bCs/>
          <w:highlight w:val="yellow"/>
          <w:highlightCs w:val="yellow"/>
        </w:rPr>
        <w:t xml:space="preserve">[DataFe legal entity name]</w:t>
      </w:r>
      <w:r>
        <w:t xml:space="preserve">, with a principal place of business at </w:t>
      </w:r>
      <w:r>
        <w:rPr>
          <w:b/>
          <w:bCs/>
          <w:highlight w:val="yellow"/>
          <w:highlightCs w:val="yellow"/>
        </w:rPr>
        <w:t xml:space="preserve">[Address]</w:t>
      </w:r>
      <w:r>
        <w:t xml:space="preserve"> (“DataFe”), and </w:t>
      </w:r>
      <w:r>
        <w:rPr>
          <w:b/>
          <w:bCs/>
          <w:highlight w:val="yellow"/>
          <w:highlightCs w:val="yellow"/>
        </w:rPr>
        <w:t xml:space="preserve">[Counterparty legal entity / individual name]</w:t>
      </w:r>
      <w:r>
        <w:t xml:space="preserve">, with a principal place of business at </w:t>
      </w:r>
      <w:r>
        <w:rPr>
          <w:b/>
          <w:bCs/>
          <w:highlight w:val="yellow"/>
          <w:highlightCs w:val="yellow"/>
        </w:rPr>
        <w:t xml:space="preserve">[Counterparty Address]</w:t>
      </w:r>
      <w:r>
        <w:t xml:space="preserve"> (“Counterparty”), each a “Party” and together the “Parties.”</w:t>
      </w:r>
    </w:p>
    <w:p>
      <w:pPr>
        <w:pStyle w:val="Heading1"/>
        <w:spacing w:after="120" w:before="260"/>
      </w:pPr>
      <w:r>
        <w:t xml:space="preserve">1. Purpose</w:t>
      </w:r>
    </w:p>
    <w:p>
      <w:pPr>
        <w:spacing w:after="140"/>
      </w:pPr>
      <w:r>
        <w:t xml:space="preserve">The Parties wish to explore a potential business relationship, specifically </w:t>
      </w:r>
      <w:r>
        <w:rPr>
          <w:b/>
          <w:bCs/>
          <w:highlight w:val="yellow"/>
          <w:highlightCs w:val="yellow"/>
        </w:rPr>
        <w:t xml:space="preserve">[e.g. “evaluation of the DataFe platform, including a security and architecture review”]</w:t>
      </w:r>
      <w:r>
        <w:t xml:space="preserve"> (the “Purpose”), which may require each Party to disclose certain confidential and proprietary information to the other.</w:t>
      </w:r>
    </w:p>
    <w:p>
      <w:pPr>
        <w:pStyle w:val="Heading1"/>
        <w:spacing w:after="120" w:before="260"/>
      </w:pPr>
      <w:r>
        <w:t xml:space="preserve">2. Confidential Information</w:t>
      </w:r>
    </w:p>
    <w:p>
      <w:pPr>
        <w:spacing w:after="140"/>
      </w:pPr>
      <w:r>
        <w:t xml:space="preserve">“Confidential Information” means any non-public information disclosed by one Party (“Discloser”) to the other (“Recipient”), whether orally, in writing, or by inspection, that is designated as confidential at the time of disclosure or that a reasonable person would understand to be confidential given its nature and the circumstances of disclosure - including, without limitation, product roadmaps, source code, architecture and security documentation, pricing, customer and prospect data, and business or financial information.</w:t>
      </w:r>
    </w:p>
    <w:p>
      <w:pPr>
        <w:spacing w:after="140"/>
      </w:pPr>
      <w:r>
        <w:t xml:space="preserve">Confidential Information does not include information that the Recipient can show:</w:t>
      </w:r>
    </w:p>
    <w:p>
      <w:pPr>
        <w:pStyle w:val="ListParagraph"/>
        <w:numPr>
          <w:ilvl w:val="0"/>
          <w:numId w:val="1"/>
        </w:numPr>
        <w:spacing w:after="80"/>
      </w:pPr>
      <w:r>
        <w:t xml:space="preserve">was already lawfully known to the Recipient without restriction before disclosure;</w:t>
      </w:r>
    </w:p>
    <w:p>
      <w:pPr>
        <w:pStyle w:val="ListParagraph"/>
        <w:numPr>
          <w:ilvl w:val="0"/>
          <w:numId w:val="1"/>
        </w:numPr>
        <w:spacing w:after="80"/>
      </w:pPr>
      <w:r>
        <w:t xml:space="preserve">is or becomes publicly available through no fault of the Recipient;</w:t>
      </w:r>
    </w:p>
    <w:p>
      <w:pPr>
        <w:pStyle w:val="ListParagraph"/>
        <w:numPr>
          <w:ilvl w:val="0"/>
          <w:numId w:val="1"/>
        </w:numPr>
        <w:spacing w:after="80"/>
      </w:pPr>
      <w:r>
        <w:t xml:space="preserve">is received from a third party without breach of any confidentiality obligation; or</w:t>
      </w:r>
    </w:p>
    <w:p>
      <w:pPr>
        <w:pStyle w:val="ListParagraph"/>
        <w:numPr>
          <w:ilvl w:val="0"/>
          <w:numId w:val="1"/>
        </w:numPr>
        <w:spacing w:after="80"/>
      </w:pPr>
      <w:r>
        <w:t xml:space="preserve">is independently developed by the Recipient without use of or reference to the Discloser's Confidential Information.</w:t>
      </w:r>
    </w:p>
    <w:p>
      <w:pPr>
        <w:pStyle w:val="Heading1"/>
        <w:spacing w:after="120" w:before="260"/>
      </w:pPr>
      <w:r>
        <w:t xml:space="preserve">3. Obligations</w:t>
      </w:r>
    </w:p>
    <w:p>
      <w:pPr>
        <w:spacing w:after="140"/>
      </w:pPr>
      <w:r>
        <w:t xml:space="preserve">The Recipient agrees to:</w:t>
      </w:r>
    </w:p>
    <w:p>
      <w:pPr>
        <w:pStyle w:val="ListParagraph"/>
        <w:numPr>
          <w:ilvl w:val="0"/>
          <w:numId w:val="1"/>
        </w:numPr>
        <w:spacing w:after="80"/>
      </w:pPr>
      <w:r>
        <w:t xml:space="preserve">use the Discloser's Confidential Information solely for the Purpose;</w:t>
      </w:r>
    </w:p>
    <w:p>
      <w:pPr>
        <w:pStyle w:val="ListParagraph"/>
        <w:numPr>
          <w:ilvl w:val="0"/>
          <w:numId w:val="1"/>
        </w:numPr>
        <w:spacing w:after="80"/>
      </w:pPr>
      <w:r>
        <w:t xml:space="preserve">protect it using at least the same degree of care it uses for its own confidential information of similar importance, and in no event less than reasonable care;</w:t>
      </w:r>
    </w:p>
    <w:p>
      <w:pPr>
        <w:pStyle w:val="ListParagraph"/>
        <w:numPr>
          <w:ilvl w:val="0"/>
          <w:numId w:val="1"/>
        </w:numPr>
        <w:spacing w:after="80"/>
      </w:pPr>
      <w:r>
        <w:t xml:space="preserve">not disclose it to any third party, except to its own employees, contractors, or advisors who have a genuine need to know it for the Purpose and are bound by confidentiality obligations at least as protective as this Agreement; and</w:t>
      </w:r>
    </w:p>
    <w:p>
      <w:pPr>
        <w:pStyle w:val="ListParagraph"/>
        <w:numPr>
          <w:ilvl w:val="0"/>
          <w:numId w:val="1"/>
        </w:numPr>
        <w:spacing w:after="80"/>
      </w:pPr>
      <w:r>
        <w:t xml:space="preserve">promptly notify the Discloser if it becomes aware of any unauthorized use or disclosure.</w:t>
      </w:r>
    </w:p>
    <w:p>
      <w:pPr>
        <w:spacing w:after="140"/>
      </w:pPr>
      <w:r>
        <w:t xml:space="preserve">If disclosure is required by law, regulation, or a valid court or government order, the Recipient may disclose the minimum Confidential Information required, provided it gives the Discloser prompt written notice (where legally permitted) so the Discloser may seek a protective order or other remedy.</w:t>
      </w:r>
    </w:p>
    <w:p>
      <w:pPr>
        <w:pStyle w:val="Heading1"/>
        <w:spacing w:after="120" w:before="260"/>
      </w:pPr>
      <w:r>
        <w:t xml:space="preserve">4. No License; No Obligation</w:t>
      </w:r>
    </w:p>
    <w:p>
      <w:pPr>
        <w:spacing w:after="140"/>
      </w:pPr>
      <w:r>
        <w:t xml:space="preserve">Nothing in this Agreement grants either Party any license, right, or interest in the other Party's Confidential Information, intellectual property, or any other rights, except the limited right to use Confidential Information for the Purpose. Neither Party is obligated by this Agreement to disclose any particular information, to enter into any further agreement, or to proceed with any business relationship.</w:t>
      </w:r>
    </w:p>
    <w:p>
      <w:pPr>
        <w:pStyle w:val="Heading1"/>
        <w:spacing w:after="120" w:before="260"/>
      </w:pPr>
      <w:r>
        <w:t xml:space="preserve">5. Term</w:t>
      </w:r>
    </w:p>
    <w:p>
      <w:pPr>
        <w:spacing w:after="140"/>
      </w:pPr>
      <w:r>
        <w:t xml:space="preserve">This Agreement is effective as of the Effective Date and continues until terminated by either Party with </w:t>
      </w:r>
      <w:r>
        <w:rPr>
          <w:b/>
          <w:bCs/>
          <w:highlight w:val="yellow"/>
          <w:highlightCs w:val="yellow"/>
        </w:rPr>
        <w:t xml:space="preserve">[e.g. 30 days]</w:t>
      </w:r>
      <w:r>
        <w:t xml:space="preserve"> written notice. The confidentiality obligations in Section 3 survive termination of this Agreement for a period of </w:t>
      </w:r>
      <w:r>
        <w:rPr>
          <w:b/>
          <w:bCs/>
          <w:highlight w:val="yellow"/>
          <w:highlightCs w:val="yellow"/>
        </w:rPr>
        <w:t xml:space="preserve">[e.g. 3 years from the date of disclosure]</w:t>
      </w:r>
      <w:r>
        <w:t xml:space="preserve">.</w:t>
      </w:r>
    </w:p>
    <w:p>
      <w:pPr>
        <w:pStyle w:val="Heading1"/>
        <w:spacing w:after="120" w:before="260"/>
      </w:pPr>
      <w:r>
        <w:t xml:space="preserve">6. Return or Destruction of Materials</w:t>
      </w:r>
    </w:p>
    <w:p>
      <w:pPr>
        <w:spacing w:after="140"/>
      </w:pPr>
      <w:r>
        <w:t xml:space="preserve">Upon the Discloser's written request, or upon termination of this Agreement, the Recipient will promptly return or destroy all materials containing the Discloser's Confidential Information in its possession or control, and certify such destruction in writing if requested - except for archival copies retained solely as required by law or a bona fide, generally applicable document-retention policy, which remain subject to this Agreement's confidentiality obligations.</w:t>
      </w:r>
    </w:p>
    <w:p>
      <w:pPr>
        <w:pStyle w:val="Heading1"/>
        <w:spacing w:after="120" w:before="260"/>
      </w:pPr>
      <w:r>
        <w:t xml:space="preserve">7. Remedies</w:t>
      </w:r>
    </w:p>
    <w:p>
      <w:pPr>
        <w:spacing w:after="140"/>
      </w:pPr>
      <w:r>
        <w:t xml:space="preserve">The Parties acknowledge that unauthorized use or disclosure of Confidential Information may cause irreparable harm for which monetary damages alone would be an inadequate remedy, and that the Discloser is entitled to seek injunctive relief, in addition to any other remedies available at law or in equity, without the need to post a bond.</w:t>
      </w:r>
    </w:p>
    <w:p>
      <w:pPr>
        <w:pStyle w:val="Heading1"/>
        <w:spacing w:after="120" w:before="260"/>
      </w:pPr>
      <w:r>
        <w:t xml:space="preserve">8. Governing Law</w:t>
      </w:r>
    </w:p>
    <w:p>
      <w:pPr>
        <w:spacing w:after="140"/>
      </w:pPr>
      <w:r>
        <w:t xml:space="preserve">This Agreement is governed by the laws of </w:t>
      </w:r>
      <w:r>
        <w:rPr>
          <w:b/>
          <w:bCs/>
          <w:highlight w:val="yellow"/>
          <w:highlightCs w:val="yellow"/>
        </w:rPr>
        <w:t xml:space="preserve">[Governing jurisdiction - to be set with legal advice]</w:t>
      </w:r>
      <w:r>
        <w:t xml:space="preserve">, without regard to its conflict-of-laws principles. Any dispute arising under this Agreement will be subject to the exclusive jurisdiction of the courts located in </w:t>
      </w:r>
      <w:r>
        <w:rPr>
          <w:b/>
          <w:bCs/>
          <w:highlight w:val="yellow"/>
          <w:highlightCs w:val="yellow"/>
        </w:rPr>
        <w:t xml:space="preserve">[Venue]</w:t>
      </w:r>
      <w:r>
        <w:t xml:space="preserve">.</w:t>
      </w:r>
    </w:p>
    <w:p>
      <w:pPr>
        <w:pStyle w:val="Heading1"/>
        <w:spacing w:after="120" w:before="260"/>
      </w:pPr>
      <w:r>
        <w:t xml:space="preserve">9. General</w:t>
      </w:r>
    </w:p>
    <w:p>
      <w:pPr>
        <w:pStyle w:val="ListParagraph"/>
        <w:numPr>
          <w:ilvl w:val="0"/>
          <w:numId w:val="1"/>
        </w:numPr>
        <w:spacing w:after="80"/>
      </w:pPr>
      <w:r>
        <w:t xml:space="preserve">This Agreement constitutes the entire agreement between the Parties regarding its subject matter and supersedes any prior discussions or agreements on that subject.</w:t>
      </w:r>
    </w:p>
    <w:p>
      <w:pPr>
        <w:pStyle w:val="ListParagraph"/>
        <w:numPr>
          <w:ilvl w:val="0"/>
          <w:numId w:val="1"/>
        </w:numPr>
        <w:spacing w:after="80"/>
      </w:pPr>
      <w:r>
        <w:t xml:space="preserve">Neither Party may assign this Agreement without the other's prior written consent, except in connection with a merger, acquisition, or sale of substantially all assets.</w:t>
      </w:r>
    </w:p>
    <w:p>
      <w:pPr>
        <w:pStyle w:val="ListParagraph"/>
        <w:numPr>
          <w:ilvl w:val="0"/>
          <w:numId w:val="1"/>
        </w:numPr>
        <w:spacing w:after="80"/>
      </w:pPr>
      <w:r>
        <w:t xml:space="preserve">If any provision is held unenforceable, the remaining provisions remain in full force and effect.</w:t>
      </w:r>
    </w:p>
    <w:p>
      <w:pPr>
        <w:pStyle w:val="ListParagraph"/>
        <w:numPr>
          <w:ilvl w:val="0"/>
          <w:numId w:val="1"/>
        </w:numPr>
        <w:spacing w:after="80"/>
      </w:pPr>
      <w:r>
        <w:t xml:space="preserve">This Agreement may be signed in counterparts, including electronically, each of which is deemed an original.</w:t>
      </w:r>
    </w:p>
    <w:p>
      <w:pPr>
        <w:spacing w:after="200" w:before="400"/>
      </w:pPr>
    </w:p>
    <w:p>
      <w:pPr>
        <w:spacing w:after="140"/>
      </w:pPr>
      <w:r>
        <w:rPr>
          <w:b/>
          <w:bCs/>
        </w:rPr>
        <w:t xml:space="preserve">DataFe</w:t>
      </w:r>
    </w:p>
    <w:p>
      <w:pPr>
        <w:spacing w:after="140"/>
      </w:pPr>
      <w:r>
        <w:t xml:space="preserve">By: _______________________________</w:t>
      </w:r>
    </w:p>
    <w:p>
      <w:pPr>
        <w:spacing w:after="140"/>
      </w:pPr>
      <w:r>
        <w:t xml:space="preserve">Name: _____________________________</w:t>
      </w:r>
    </w:p>
    <w:p>
      <w:pPr>
        <w:spacing w:after="140"/>
      </w:pPr>
      <w:r>
        <w:t xml:space="preserve">Title: ______________________________</w:t>
      </w:r>
    </w:p>
    <w:p>
      <w:pPr>
        <w:spacing w:after="140"/>
      </w:pPr>
      <w:r>
        <w:t xml:space="preserve">Date: ______________________________</w:t>
      </w:r>
    </w:p>
    <w:p>
      <w:pPr>
        <w:spacing w:after="200" w:before="300"/>
      </w:pPr>
    </w:p>
    <w:p>
      <w:pPr>
        <w:spacing w:after="140"/>
      </w:pPr>
      <w:r>
        <w:rPr>
          <w:b/>
          <w:bCs/>
          <w:highlight w:val="yellow"/>
          <w:highlightCs w:val="yellow"/>
        </w:rPr>
        <w:t xml:space="preserve">[Counterparty legal entity / individual name]</w:t>
      </w:r>
    </w:p>
    <w:p>
      <w:pPr>
        <w:spacing w:after="140"/>
      </w:pPr>
      <w:r>
        <w:t xml:space="preserve">By: _______________________________</w:t>
      </w:r>
    </w:p>
    <w:p>
      <w:pPr>
        <w:spacing w:after="140"/>
      </w:pPr>
      <w:r>
        <w:t xml:space="preserve">Name: _____________________________</w:t>
      </w:r>
    </w:p>
    <w:p>
      <w:pPr>
        <w:spacing w:after="140"/>
      </w:pPr>
      <w:r>
        <w:t xml:space="preserve">Title: ______________________________</w:t>
      </w:r>
    </w:p>
    <w:p>
      <w:pPr>
        <w:spacing w:after="140"/>
      </w:pPr>
      <w:r>
        <w:t xml:space="preserve">Date: 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2026-07-27T19:57:36.348Z</dcterms:created>
  <dcterms:modified xsi:type="dcterms:W3CDTF">2026-07-27T19:57:36.348Z</dcterms:modified>
</cp:coreProperties>
</file>

<file path=docProps/custom.xml><?xml version="1.0" encoding="utf-8"?>
<Properties xmlns="http://schemas.openxmlformats.org/officeDocument/2006/custom-properties" xmlns:vt="http://schemas.openxmlformats.org/officeDocument/2006/docPropsVTypes"/>
</file>