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8.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Samantha Mahung (sm308)</w:t>
      </w:r>
    </w:p>
    <w:p>
      <w:pPr>
        <w:pStyle w:val="Date"/>
      </w:pPr>
      <w:r>
        <w:t xml:space="preserve">2024-10-23</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"data/20.txt"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BARBALHA</w:t>
      </w:r>
      <w:r>
        <w:br/>
      </w:r>
      <w:r>
        <w:rPr>
          <w:rStyle w:val="VerbatimChar"/>
        </w:rPr>
        <w:t xml:space="preserve">  Location: -7.3072222222222, -39.301638888889</w:t>
      </w:r>
      <w:r>
        <w:br/>
      </w:r>
      <w:r>
        <w:rPr>
          <w:rStyle w:val="VerbatimChar"/>
        </w:rPr>
        <w:t xml:space="preserve">  Years of data: 49</w:t>
      </w:r>
      <w:r>
        <w:br/>
      </w:r>
      <w:r>
        <w:rPr>
          <w:rStyle w:val="VerbatimChar"/>
        </w:rPr>
        <w:t xml:space="preserve">  Total days: 17897</w:t>
      </w:r>
    </w:p>
    <w:bookmarkEnd w:id="22"/>
    <w:bookmarkStart w:id="28" w:name="plotting-the-data"/>
    <w:p>
      <w:pPr>
        <w:pStyle w:val="Heading3"/>
      </w:pPr>
      <w:r>
        <w:t xml:space="preserve">Plotting the Data</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t xml:space="preserve">There are 49 years of rainfall data for Barbalha after cleaning, which is sufficient for meaningful risk assessments as it contains years with a wide variety of rainfall conditions including droughts. The most notable drought that can be recognized in the data lasted from 2012 to 2018 and was both the worst and most recent drought in Ceara’s history. The large gap in the data would cause an overestimate in how much water Barbalha needs under typical rainfall conditions.</w:t>
      </w:r>
    </w:p>
    <w:bookmarkEnd w:id="29"/>
    <w:bookmarkStart w:id="34" w:name="understanding-the-theoretical-model"/>
    <w:p>
      <w:pPr>
        <w:pStyle w:val="Heading2"/>
      </w:pPr>
      <w:r>
        <w:t xml:space="preserve">Understanding the Theoretical Model</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1"/>
        </w:numPr>
      </w:pPr>
      <m:oMath>
        <m:sSub>
          <m:e>
            <m:r>
              <m:t>V</m:t>
            </m:r>
          </m:e>
          <m:sub>
            <m:r>
              <m:t>t</m:t>
            </m:r>
          </m:sub>
        </m:sSub>
      </m:oMath>
      <w:r>
        <w:t xml:space="preserve">: the volume of water in the tank at time</w:t>
      </w:r>
      <w:r>
        <w:t xml:space="preserve"> </w:t>
      </w:r>
      <m:oMath>
        <m:r>
          <m:t>t</m:t>
        </m:r>
      </m:oMath>
    </w:p>
    <w:p>
      <w:pPr>
        <w:pStyle w:val="Compact"/>
        <w:numPr>
          <w:ilvl w:val="0"/>
          <w:numId w:val="1001"/>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1"/>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1"/>
        </w:numPr>
      </w:pPr>
      <m:oMath>
        <m:sSub>
          <m:e>
            <m:r>
              <m:t>V</m:t>
            </m:r>
          </m:e>
          <m:sub>
            <m:r>
              <m:rPr>
                <m:nor/>
                <m:sty m:val="p"/>
              </m:rPr>
              <m:t>max</m:t>
            </m:r>
          </m:sub>
        </m:sSub>
      </m:oMath>
      <w:r>
        <w:t xml:space="preserve">: the maximum volume of the tank</w:t>
      </w:r>
    </w:p>
    <w:bookmarkEnd w:id="30"/>
    <w:bookmarkStart w:id="3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p>
      <w:pPr>
        <w:pStyle w:val="Compact"/>
        <w:numPr>
          <w:ilvl w:val="0"/>
          <w:numId w:val="1002"/>
        </w:numPr>
      </w:pPr>
      <m:oMath>
        <m:r>
          <m:t>η</m:t>
        </m:r>
      </m:oMath>
      <w:r>
        <w:t xml:space="preserve">: the runoff coefficient, which accounts for losses due to evaporation, spilling, etc.</w:t>
      </w:r>
    </w:p>
    <w:p>
      <w:pPr>
        <w:pStyle w:val="Compact"/>
        <w:numPr>
          <w:ilvl w:val="0"/>
          <w:numId w:val="1002"/>
        </w:numPr>
      </w:pPr>
      <m:oMath>
        <m:r>
          <m:t>A</m:t>
        </m:r>
      </m:oMath>
      <w:r>
        <w:t xml:space="preserve">: the area of the roof (we will use square meters)</w:t>
      </w:r>
    </w:p>
    <w:p>
      <w:pPr>
        <w:pStyle w:val="Compact"/>
        <w:numPr>
          <w:ilvl w:val="0"/>
          <w:numId w:val="1002"/>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2"/>
        </w:numPr>
      </w:pPr>
      <m:oMath>
        <m:r>
          <m:t>F</m:t>
        </m:r>
      </m:oMath>
      <w:r>
        <w:t xml:space="preserve">: the first flush volume (we will use millimeters). The first flush volume is often discarded, so that each time it rains the first bit of water (which is usually dirty) is not used (see</w:t>
      </w:r>
      <w:r>
        <w:t xml:space="preserve"> </w:t>
      </w:r>
      <w:hyperlink r:id="rId31">
        <w:r>
          <w:rPr>
            <w:rStyle w:val="Hyperlink"/>
          </w:rPr>
          <w:t xml:space="preserve">here</w:t>
        </w:r>
      </w:hyperlink>
      <w:r>
        <w:t xml:space="preserve"> </w:t>
      </w:r>
      <w:r>
        <w:t xml:space="preserve">for more details).</w:t>
      </w:r>
    </w:p>
    <w:bookmarkEnd w:id="32"/>
    <w:bookmarkStart w:id="3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The two major assumptions made for this model are that residents only start using water from the tank after the rainy season and that each household uses 74.1 liters per day during the dry season. These are not concrete facts, so we must account for any variation from this assumed standard. To do so, we can conduct a city-wide survey on residents’ change in water usage habits throughout the year and factor in our findings while also including a margin of error to contain any further fluctuations.</w:t>
      </w:r>
    </w:p>
    <w:bookmarkEnd w:id="33"/>
    <w:bookmarkEnd w:id="34"/>
    <w:bookmarkStart w:id="47" w:name="model-implementation-and-testing"/>
    <w:p>
      <w:pPr>
        <w:pStyle w:val="Heading2"/>
      </w:pPr>
      <w:r>
        <w:t xml:space="preserve">Model Implementation and Testing</w:t>
      </w:r>
    </w:p>
    <w:p>
      <w:pPr>
        <w:pStyle w:val="FirstParagraph"/>
      </w:pPr>
      <w:r>
        <w:t xml:space="preserve">With the current parameters, there is only one year out of 49 with failures. Decreasing the roof area and tank capacity increases the number of failures, while increasing the roof area and tank capacity has no effect. Even with an impossibly large tank, there is still one failure. This implies that there was essentially no water in one year, but it is more likely that there is just a year with extremely faulty data, and we cannot know if there was actually a failure in that year. Looking at the rest of the data, it seems the tank is already very reliable and suits the needs of Barbalha.</w:t>
      </w:r>
    </w:p>
    <w:p>
      <w:pPr>
        <w:pStyle w:val="BodyText"/>
      </w:pPr>
      <w:r>
        <w:t xml:space="preserve">The one major gap in these methods is, once again, the year of faulty data. It appears that the faulty year is 2011 since running the model using 2011’s data comes up with an error. That year preceded Ceara’s worst drought period but was not a part of it, so it does not make sense that there would be a failure in 2011 when there were no failures during the drought. To address the issue, it would be best to try and figure out what happened why the data is faulty or missing and adjust calculations accordingly. In any case, there should not have been a failure in that year when there were no failures in years with worse droughts, so the data from 2011 should be disregarded or recalculated.</w:t>
      </w:r>
    </w:p>
    <w:bookmarkStart w:id="36" w:name="defining-the-model-parameters"/>
    <w:p>
      <w:pPr>
        <w:pStyle w:val="Heading3"/>
      </w:pPr>
      <w:r>
        <w:t xml:space="preserve">Defining the Model Parameters</w:t>
      </w:r>
    </w:p>
    <w:bookmarkStart w:id="35"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32000.0</w:t>
      </w:r>
      <w:r>
        <w:br/>
      </w:r>
      <w:r>
        <w:rPr>
          <w:rStyle w:val="NormalTok"/>
        </w:rPr>
        <w:t xml:space="preserve">)</w:t>
      </w:r>
    </w:p>
    <w:bookmarkEnd w:id="3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6"/>
    <w:bookmarkStart w:id="44" w:name="running-the-simulation-for-one-year"/>
    <w:p>
      <w:pPr>
        <w:pStyle w:val="Heading3"/>
      </w:pPr>
      <w:r>
        <w:t xml:space="preserve">Running the Simulation for One Year</w:t>
      </w:r>
    </w:p>
    <w:p>
      <w:pPr>
        <w:pStyle w:val="FirstParagraph"/>
      </w:pPr>
      <w:r>
        <w:t xml:space="preserve">Let’s run the model for the year 2010.</w:t>
      </w:r>
    </w:p>
    <w:bookmarkStart w:id="37" w:name="annotated-cell-5"/>
    <w:p>
      <w:pPr>
        <w:pStyle w:val="SourceCode"/>
      </w:pPr>
      <w:r>
        <w:rPr>
          <w:rStyle w:val="NormalTok"/>
        </w:rPr>
        <w:t xml:space="preserve">rainfall_2010 </w:t>
      </w:r>
      <w:r>
        <w:rPr>
          <w:rStyle w:val="OperatorTok"/>
        </w:rPr>
        <w:t xml:space="preserve">=</w:t>
      </w:r>
      <w:r>
        <w:rPr>
          <w:rStyle w:val="NormalTok"/>
        </w:rPr>
        <w:t xml:space="preserve"> rainfall_data.annual_data[</w:t>
      </w:r>
      <w:r>
        <w:rPr>
          <w:rStyle w:val="FloatTok"/>
        </w:rPr>
        <w:t xml:space="preserve">2010</w:t>
      </w:r>
      <w:r>
        <w:rPr>
          <w:rStyle w:val="NormalTok"/>
        </w:rPr>
        <w:t xml:space="preserve">]</w:t>
      </w:r>
      <w:r>
        <w:br/>
      </w:r>
      <w:r>
        <w:rPr>
          <w:rStyle w:val="NormalTok"/>
        </w:rPr>
        <w:t xml:space="preserve">results_2010 </w:t>
      </w:r>
      <w:r>
        <w:rPr>
          <w:rStyle w:val="OperatorTok"/>
        </w:rPr>
        <w:t xml:space="preserve">=</w:t>
      </w:r>
      <w:r>
        <w:rPr>
          <w:rStyle w:val="NormalTok"/>
        </w:rPr>
        <w:t xml:space="preserve"> </w:t>
      </w:r>
      <w:r>
        <w:rPr>
          <w:rStyle w:val="FunctionTok"/>
        </w:rPr>
        <w:t xml:space="preserve">run_timesteps</w:t>
      </w:r>
      <w:r>
        <w:rPr>
          <w:rStyle w:val="NormalTok"/>
        </w:rPr>
        <w:t xml:space="preserve">(rainfall_2010,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(results_2010)</w:t>
      </w:r>
    </w:p>
    <w:bookmarkEnd w:id="3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6-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(rainfall_2010)</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2" name="Picture"/>
            <a:graphic>
              <a:graphicData uri="http://schemas.openxmlformats.org/drawingml/2006/picture">
                <pic:pic>
                  <pic:nvPicPr>
                    <pic:cNvPr descr="template_files/figure-docx/cell-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733800"/>
                    </a:xfrm>
                    <a:prstGeom prst="rect">
                      <a:avLst/>
                    </a:prstGeom>
                    <a:noFill/>
                    <a:ln w="9525">
                      <a:noFill/>
                      <a:headEnd/>
                      <a:tailEnd/>
                    </a:ln>
                  </pic:spPr>
                </pic:pic>
              </a:graphicData>
            </a:graphic>
          </wp:inline>
        </w:drawing>
      </w:r>
    </w:p>
    <w:bookmarkEnd w:id="44"/>
    <w:bookmarkStart w:id="46" w:name="reliability-analysis"/>
    <w:p>
      <w:pPr>
        <w:pStyle w:val="Heading3"/>
      </w:pPr>
      <w:r>
        <w:t xml:space="preserve">Reliability Analysis</w:t>
      </w:r>
    </w:p>
    <w:p>
      <w:pPr>
        <w:pStyle w:val="FirstParagraph"/>
      </w:pPr>
      <w:r>
        <w:t xml:space="preserve">Even with the year of faulty data, the tank is extremely reliable with success 98% of the time. However, the default 16000 liter tank overflows, making it inefficient. Doubling the tank capacity helps increase the storage efficiency and reliability greatly.</w:t>
      </w:r>
    </w:p>
    <w:bookmarkStart w:id="45"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5"/>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1 out of 49</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Samantha Mahung (sm308)</dc:creator>
  <cp:keywords/>
  <dcterms:created xsi:type="dcterms:W3CDTF">2024-11-24T00:21:11Z</dcterms:created>
  <dcterms:modified xsi:type="dcterms:W3CDTF">2024-11-24T00:21:11Z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