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44CE" w14:textId="77777777" w:rsidR="00DE0A44" w:rsidRDefault="00000000">
      <w:pPr>
        <w:spacing w:after="160"/>
      </w:pPr>
      <w:r>
        <w:rPr>
          <w:b/>
          <w:sz w:val="32"/>
        </w:rPr>
        <w:t>Food Access Dataset: Important Variables, Graphs, and Cleaning Notes</w:t>
      </w:r>
    </w:p>
    <w:p w14:paraId="2D8643FE" w14:textId="77777777" w:rsidR="00DE0A44" w:rsidRDefault="00000000">
      <w:pPr>
        <w:spacing w:before="280" w:after="120"/>
      </w:pPr>
      <w:r>
        <w:rPr>
          <w:b/>
          <w:sz w:val="28"/>
        </w:rPr>
        <w:t>1. Important variables in the dataset</w:t>
      </w:r>
    </w:p>
    <w:p w14:paraId="12EB20BF" w14:textId="77777777" w:rsidR="00DE0A44" w:rsidRDefault="00000000">
      <w:pPr>
        <w:spacing w:after="120"/>
      </w:pPr>
      <w:r>
        <w:t>After reading through the Food Access Research Atlas data and the variable lookup, the most important variables for our research question can be grouped into outcome variables, race/ethnicity predictors, control variables, and context or quality-check variables.</w:t>
      </w:r>
    </w:p>
    <w:p w14:paraId="6153FF13" w14:textId="77777777" w:rsidR="00DE0A44" w:rsidRDefault="00000000">
      <w:pPr>
        <w:spacing w:after="120"/>
      </w:pPr>
      <w:r>
        <w:t>Outcome variables:</w:t>
      </w:r>
    </w:p>
    <w:p w14:paraId="6E6D64E0" w14:textId="77777777" w:rsidR="00DE0A44" w:rsidRDefault="00000000">
      <w:pPr>
        <w:pStyle w:val="a0"/>
        <w:spacing w:after="80"/>
      </w:pPr>
      <w:r>
        <w:t>LA1and10: a binary indicator for whether a census tract is a low-access tract, using 1 mile for urban tracts and 10 miles for rural tracts. This is suitable as the main food-access status outcome.</w:t>
      </w:r>
    </w:p>
    <w:p w14:paraId="75C3D192" w14:textId="77777777" w:rsidR="00DE0A44" w:rsidRDefault="00000000">
      <w:pPr>
        <w:pStyle w:val="a0"/>
        <w:spacing w:after="80"/>
      </w:pPr>
      <w:r>
        <w:t>LAPOP1_10: the number of people in the tract who have low food access under the same 1/10 mile definition.</w:t>
      </w:r>
    </w:p>
    <w:p w14:paraId="744BB2F7" w14:textId="77777777" w:rsidR="00DE0A44" w:rsidRDefault="00000000">
      <w:pPr>
        <w:pStyle w:val="a0"/>
        <w:spacing w:after="80"/>
      </w:pPr>
      <w:r>
        <w:t>low_access_pct_1_10: a new derived variable equal to LAPOP1_10 divided by Pop2010, multiplied by 100. This is useful for histograms, scatterplots, and box plots because it shows the degree of low access.</w:t>
      </w:r>
    </w:p>
    <w:p w14:paraId="171DA159" w14:textId="77777777" w:rsidR="00DE0A44" w:rsidRDefault="00000000">
      <w:pPr>
        <w:spacing w:after="120"/>
      </w:pPr>
      <w:r>
        <w:t>Main race/ethnicity predictors:</w:t>
      </w:r>
    </w:p>
    <w:p w14:paraId="66C3914C" w14:textId="77777777" w:rsidR="00DE0A44" w:rsidRDefault="00000000">
      <w:pPr>
        <w:pStyle w:val="a0"/>
        <w:spacing w:after="80"/>
      </w:pPr>
      <w:r>
        <w:t>TractBlack, TractHispanic, TractWhite, TractAsian, TractAIAN, TractNHOPI, and TractOMultir are tract-level population counts.</w:t>
      </w:r>
    </w:p>
    <w:p w14:paraId="77A9F2C3" w14:textId="77777777" w:rsidR="00DE0A44" w:rsidRDefault="00000000">
      <w:pPr>
        <w:pStyle w:val="a0"/>
        <w:spacing w:after="80"/>
      </w:pPr>
      <w:r>
        <w:t>These should be converted into tract composition percentages, such as pct_black = TractBlack / Pop2010 * 100 and pct_hispanic = TractHispanic / Pop2010 * 100.</w:t>
      </w:r>
    </w:p>
    <w:p w14:paraId="4DD32118" w14:textId="77777777" w:rsidR="00DE0A44" w:rsidRDefault="00000000">
      <w:pPr>
        <w:pStyle w:val="a0"/>
        <w:spacing w:after="80"/>
      </w:pPr>
      <w:r>
        <w:t>We should not use variables such as lablack1share or lahisp1share as the main predictors, because those describe the race/ethnicity share of the low-access population. That would mix the predictor with the outcome.</w:t>
      </w:r>
    </w:p>
    <w:p w14:paraId="37A9721B" w14:textId="77777777" w:rsidR="00DE0A44" w:rsidRDefault="00000000">
      <w:pPr>
        <w:spacing w:after="120"/>
      </w:pPr>
      <w:r>
        <w:t>Control variables:</w:t>
      </w:r>
    </w:p>
    <w:p w14:paraId="7A8B4E39" w14:textId="77777777" w:rsidR="00DE0A44" w:rsidRDefault="00000000">
      <w:pPr>
        <w:pStyle w:val="a0"/>
        <w:spacing w:after="80"/>
      </w:pPr>
      <w:r>
        <w:t>PovertyRate: the tract poverty rate.</w:t>
      </w:r>
    </w:p>
    <w:p w14:paraId="4D44C76F" w14:textId="77777777" w:rsidR="00DE0A44" w:rsidRDefault="00000000">
      <w:pPr>
        <w:pStyle w:val="a0"/>
        <w:spacing w:after="80"/>
      </w:pPr>
      <w:r>
        <w:t>MedianFamilyIncome: the tract median family income.</w:t>
      </w:r>
    </w:p>
    <w:p w14:paraId="62A3C85C" w14:textId="77777777" w:rsidR="00DE0A44" w:rsidRDefault="00000000">
      <w:pPr>
        <w:pStyle w:val="a0"/>
        <w:spacing w:after="80"/>
      </w:pPr>
      <w:r>
        <w:t>TractHUNV and HUNVFlag: variables related to households without vehicle access.</w:t>
      </w:r>
    </w:p>
    <w:p w14:paraId="404A65DC" w14:textId="77777777" w:rsidR="00DE0A44" w:rsidRDefault="00000000">
      <w:pPr>
        <w:pStyle w:val="a0"/>
        <w:spacing w:after="80"/>
      </w:pPr>
      <w:r>
        <w:t>pct_no_vehicle: a derived variable equal to TractHUNV / OHU2010 * 100.</w:t>
      </w:r>
    </w:p>
    <w:p w14:paraId="01328D1B" w14:textId="77777777" w:rsidR="00DE0A44" w:rsidRDefault="00000000">
      <w:pPr>
        <w:spacing w:after="120"/>
      </w:pPr>
      <w:r>
        <w:t>Context and quality-check variables:</w:t>
      </w:r>
    </w:p>
    <w:p w14:paraId="0B5BF2AB" w14:textId="77777777" w:rsidR="00DE0A44" w:rsidRDefault="00000000">
      <w:pPr>
        <w:pStyle w:val="a0"/>
        <w:spacing w:after="80"/>
      </w:pPr>
      <w:r>
        <w:t>Urban, or the derived urban_rural variable, to compare urban and rural tracts.</w:t>
      </w:r>
    </w:p>
    <w:p w14:paraId="617943E4" w14:textId="77777777" w:rsidR="00DE0A44" w:rsidRDefault="00000000">
      <w:pPr>
        <w:pStyle w:val="a0"/>
        <w:spacing w:after="80"/>
      </w:pPr>
      <w:r>
        <w:t>Pop2010 and OHU2010, which are needed as denominators for percentage variables.</w:t>
      </w:r>
    </w:p>
    <w:p w14:paraId="042E68E5" w14:textId="77777777" w:rsidR="00DE0A44" w:rsidRPr="001F36FA" w:rsidRDefault="00000000">
      <w:pPr>
        <w:pStyle w:val="a0"/>
        <w:spacing w:after="80"/>
      </w:pPr>
      <w:r>
        <w:t>GroupQuartersFlag and PCTGQTRS, which help identify unusual tracts with a high group-quarters population.</w:t>
      </w:r>
    </w:p>
    <w:p w14:paraId="0F0F15C1" w14:textId="77777777" w:rsidR="001F36FA" w:rsidRDefault="001F36FA" w:rsidP="001F36FA">
      <w:pPr>
        <w:pStyle w:val="a0"/>
        <w:numPr>
          <w:ilvl w:val="0"/>
          <w:numId w:val="0"/>
        </w:numPr>
        <w:spacing w:after="80"/>
        <w:ind w:left="360" w:hanging="360"/>
        <w:rPr>
          <w:rFonts w:eastAsia="SimSun"/>
          <w:lang w:eastAsia="zh-CN"/>
        </w:rPr>
      </w:pPr>
    </w:p>
    <w:p w14:paraId="458865CC" w14:textId="77777777" w:rsidR="001F36FA" w:rsidRDefault="001F36FA" w:rsidP="001F36FA">
      <w:pPr>
        <w:pStyle w:val="a0"/>
        <w:numPr>
          <w:ilvl w:val="0"/>
          <w:numId w:val="0"/>
        </w:numPr>
        <w:spacing w:after="80"/>
        <w:ind w:left="360" w:hanging="360"/>
        <w:rPr>
          <w:rFonts w:eastAsia="SimSun"/>
          <w:lang w:eastAsia="zh-CN"/>
        </w:rPr>
      </w:pPr>
    </w:p>
    <w:p w14:paraId="1178C857" w14:textId="77777777" w:rsidR="001F36FA" w:rsidRDefault="001F36FA" w:rsidP="001F36FA">
      <w:pPr>
        <w:pStyle w:val="a0"/>
        <w:numPr>
          <w:ilvl w:val="0"/>
          <w:numId w:val="0"/>
        </w:numPr>
        <w:spacing w:after="80"/>
        <w:ind w:left="360" w:hanging="360"/>
        <w:rPr>
          <w:rFonts w:eastAsia="SimSun"/>
          <w:lang w:eastAsia="zh-CN"/>
        </w:rPr>
      </w:pPr>
    </w:p>
    <w:p w14:paraId="62BDB3BC" w14:textId="77777777" w:rsidR="001F36FA" w:rsidRDefault="001F36FA" w:rsidP="001F36FA">
      <w:pPr>
        <w:pStyle w:val="a0"/>
        <w:numPr>
          <w:ilvl w:val="0"/>
          <w:numId w:val="0"/>
        </w:numPr>
        <w:spacing w:after="80"/>
        <w:ind w:left="360" w:hanging="360"/>
        <w:rPr>
          <w:rFonts w:eastAsia="SimSun"/>
          <w:lang w:eastAsia="zh-CN"/>
        </w:rPr>
      </w:pPr>
    </w:p>
    <w:p w14:paraId="362E6D40" w14:textId="77777777" w:rsidR="001F36FA" w:rsidRDefault="001F36FA" w:rsidP="001F36FA">
      <w:pPr>
        <w:pStyle w:val="a0"/>
        <w:numPr>
          <w:ilvl w:val="0"/>
          <w:numId w:val="0"/>
        </w:numPr>
        <w:spacing w:after="80"/>
        <w:ind w:left="360" w:hanging="360"/>
      </w:pPr>
    </w:p>
    <w:p w14:paraId="037AD9EF" w14:textId="77777777" w:rsidR="00DE0A44" w:rsidRDefault="00000000">
      <w:pPr>
        <w:spacing w:before="280" w:after="120"/>
      </w:pPr>
      <w:r>
        <w:rPr>
          <w:b/>
          <w:sz w:val="28"/>
        </w:rPr>
        <w:lastRenderedPageBreak/>
        <w:t>2. Graphs we need</w:t>
      </w:r>
    </w:p>
    <w:p w14:paraId="1B0756E8" w14:textId="0CA2CEEB" w:rsidR="00DE0A44" w:rsidRPr="001F36FA" w:rsidRDefault="00000000">
      <w:pPr>
        <w:spacing w:after="120"/>
        <w:rPr>
          <w:rFonts w:eastAsia="SimSun" w:hint="eastAsia"/>
          <w:lang w:eastAsia="zh-CN"/>
        </w:rPr>
      </w:pPr>
      <w:r>
        <w:t>Based on the project question and the EDA requirements, the graphs should focus on a small number of variables and directly support the research question</w:t>
      </w:r>
    </w:p>
    <w:p w14:paraId="039DB4C9" w14:textId="77777777" w:rsidR="00DE0A44" w:rsidRDefault="00000000">
      <w:pPr>
        <w:pStyle w:val="a0"/>
        <w:spacing w:after="80"/>
      </w:pPr>
      <w:r>
        <w:t>Histogram of low_access_pct_1_10. This shows the overall distribution of the outcome and sets up the report.</w:t>
      </w:r>
    </w:p>
    <w:p w14:paraId="542D46D4" w14:textId="77777777" w:rsidR="00DE0A44" w:rsidRDefault="00000000">
      <w:pPr>
        <w:pStyle w:val="a0"/>
        <w:spacing w:after="80"/>
      </w:pPr>
      <w:r>
        <w:t>Histogram or bar chart of pct_black and/or pct_hispanic. This gives a basic univariate look at the key race/ethnicity predictor.</w:t>
      </w:r>
    </w:p>
    <w:p w14:paraId="68031B9D" w14:textId="77777777" w:rsidR="00DE0A44" w:rsidRDefault="00000000">
      <w:pPr>
        <w:pStyle w:val="a0"/>
        <w:spacing w:after="80"/>
      </w:pPr>
      <w:r>
        <w:t>Scatterplot of pct_black or pct_hispanic against low_access_pct_1_10. This is the main bivariate plot for the relationship between race/ethnicity composition and low food access.</w:t>
      </w:r>
    </w:p>
    <w:p w14:paraId="5A4745C1" w14:textId="77777777" w:rsidR="00DE0A44" w:rsidRDefault="00000000">
      <w:pPr>
        <w:pStyle w:val="a0"/>
        <w:spacing w:after="80"/>
      </w:pPr>
      <w:r>
        <w:t>Box plot of low_access_pct_1_10 by urban_rural. This checks whether food access patterns are different in urban and rural tracts.</w:t>
      </w:r>
    </w:p>
    <w:p w14:paraId="7B4BD048" w14:textId="77777777" w:rsidR="00DE0A44" w:rsidRDefault="00000000">
      <w:pPr>
        <w:pStyle w:val="a0"/>
        <w:spacing w:after="80"/>
      </w:pPr>
      <w:r>
        <w:t>Scatterplot of PovertyRate against low_access_pct_1_10. This establishes the economic relationship as a baseline and helps explain why income should be controlled for.</w:t>
      </w:r>
    </w:p>
    <w:p w14:paraId="45C79E9F" w14:textId="78C491B5" w:rsidR="00DE0A44" w:rsidRPr="001F36FA" w:rsidRDefault="00000000" w:rsidP="001F36FA">
      <w:pPr>
        <w:pStyle w:val="a0"/>
        <w:spacing w:after="80"/>
        <w:rPr>
          <w:rFonts w:hint="eastAsia"/>
        </w:rPr>
      </w:pPr>
      <w:r>
        <w:t>Grouped box plot or grouped bar chart using race/ethnicity percentage bins and low_access_pct_1_10, split by income_tier. This gives a simple EDA preview of the idea of holding income relatively stable.</w:t>
      </w:r>
    </w:p>
    <w:sectPr w:rsidR="00DE0A44" w:rsidRPr="001F36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518EF" w14:textId="77777777" w:rsidR="00BA6164" w:rsidRDefault="00BA6164" w:rsidP="001F36FA">
      <w:pPr>
        <w:spacing w:after="0" w:line="240" w:lineRule="auto"/>
      </w:pPr>
      <w:r>
        <w:separator/>
      </w:r>
    </w:p>
  </w:endnote>
  <w:endnote w:type="continuationSeparator" w:id="0">
    <w:p w14:paraId="1D0C8D35" w14:textId="77777777" w:rsidR="00BA6164" w:rsidRDefault="00BA6164" w:rsidP="001F3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FC024" w14:textId="77777777" w:rsidR="00BA6164" w:rsidRDefault="00BA6164" w:rsidP="001F36FA">
      <w:pPr>
        <w:spacing w:after="0" w:line="240" w:lineRule="auto"/>
      </w:pPr>
      <w:r>
        <w:separator/>
      </w:r>
    </w:p>
  </w:footnote>
  <w:footnote w:type="continuationSeparator" w:id="0">
    <w:p w14:paraId="41144B1C" w14:textId="77777777" w:rsidR="00BA6164" w:rsidRDefault="00BA6164" w:rsidP="001F3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633123">
    <w:abstractNumId w:val="8"/>
  </w:num>
  <w:num w:numId="2" w16cid:durableId="1433085447">
    <w:abstractNumId w:val="6"/>
  </w:num>
  <w:num w:numId="3" w16cid:durableId="1594388040">
    <w:abstractNumId w:val="5"/>
  </w:num>
  <w:num w:numId="4" w16cid:durableId="138543174">
    <w:abstractNumId w:val="4"/>
  </w:num>
  <w:num w:numId="5" w16cid:durableId="637607850">
    <w:abstractNumId w:val="7"/>
  </w:num>
  <w:num w:numId="6" w16cid:durableId="2009596958">
    <w:abstractNumId w:val="3"/>
  </w:num>
  <w:num w:numId="7" w16cid:durableId="93407595">
    <w:abstractNumId w:val="2"/>
  </w:num>
  <w:num w:numId="8" w16cid:durableId="1295913293">
    <w:abstractNumId w:val="1"/>
  </w:num>
  <w:num w:numId="9" w16cid:durableId="82497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6FA"/>
    <w:rsid w:val="0029639D"/>
    <w:rsid w:val="00326F90"/>
    <w:rsid w:val="009E6B62"/>
    <w:rsid w:val="00AA1D8D"/>
    <w:rsid w:val="00B47730"/>
    <w:rsid w:val="00BA6164"/>
    <w:rsid w:val="00CB0664"/>
    <w:rsid w:val="00DE0A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AF9DD6"/>
  <w14:defaultImageDpi w14:val="300"/>
  <w15:docId w15:val="{20DC3765-4611-4A77-9EDB-BEFBAB32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Kaiyuan Jiang</cp:lastModifiedBy>
  <cp:revision>2</cp:revision>
  <dcterms:created xsi:type="dcterms:W3CDTF">2026-08-18T08:23:00Z</dcterms:created>
  <dcterms:modified xsi:type="dcterms:W3CDTF">2026-08-18T08:23:00Z</dcterms:modified>
  <cp:category/>
</cp:coreProperties>
</file>