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D4CF" w14:textId="77777777" w:rsidR="00DA5406" w:rsidRDefault="00000000">
      <w:pPr>
        <w:spacing w:before="280" w:after="120"/>
      </w:pPr>
      <w:r>
        <w:rPr>
          <w:b/>
          <w:sz w:val="28"/>
        </w:rPr>
        <w:t>1. Important variables in the merged dataset</w:t>
      </w:r>
    </w:p>
    <w:p w14:paraId="61F3A0EE" w14:textId="77777777" w:rsidR="00DA5406" w:rsidRDefault="00000000">
      <w:pPr>
        <w:spacing w:after="120"/>
      </w:pPr>
      <w:r>
        <w:t>Main food-access outcome variables:</w:t>
      </w:r>
    </w:p>
    <w:p w14:paraId="5A71C57E" w14:textId="77777777" w:rsidR="00DA5406" w:rsidRDefault="00000000">
      <w:pPr>
        <w:pStyle w:val="a0"/>
        <w:spacing w:after="80"/>
      </w:pPr>
      <w:r>
        <w:t>low_access_status_1_10: a binary indicator for whether a census tract is low-access, using 1 mile for urban tracts and 10 miles for rural tracts.</w:t>
      </w:r>
    </w:p>
    <w:p w14:paraId="59B2565A" w14:textId="77777777" w:rsidR="00DA5406" w:rsidRDefault="00000000">
      <w:pPr>
        <w:pStyle w:val="a0"/>
        <w:spacing w:after="80"/>
      </w:pPr>
      <w:r>
        <w:t>low_access_population_1_10: the number of people in the tract with low food access under the 1/10 mile definition.</w:t>
      </w:r>
    </w:p>
    <w:p w14:paraId="29A7A3E5" w14:textId="77777777" w:rsidR="00DA5406" w:rsidRDefault="00000000">
      <w:pPr>
        <w:pStyle w:val="a0"/>
        <w:spacing w:after="80"/>
      </w:pPr>
      <w:r>
        <w:t>low_access_pct_1_10: the percentage of the tract population with low food access. This is the best continuous outcome for EDA graphs.</w:t>
      </w:r>
    </w:p>
    <w:p w14:paraId="1F4762EF" w14:textId="77777777" w:rsidR="00DA5406" w:rsidRDefault="00000000">
      <w:pPr>
        <w:spacing w:after="120"/>
      </w:pPr>
      <w:r>
        <w:t>Main race/ethnicity predictors:</w:t>
      </w:r>
    </w:p>
    <w:p w14:paraId="10AB1D08" w14:textId="77777777" w:rsidR="00DA5406" w:rsidRDefault="00000000">
      <w:pPr>
        <w:pStyle w:val="a0"/>
        <w:spacing w:after="80"/>
      </w:pPr>
      <w:r>
        <w:t>pct_black and pct_hispanic are the main race/ethnicity composition variables for our research question.</w:t>
      </w:r>
    </w:p>
    <w:p w14:paraId="0F8563D9" w14:textId="77777777" w:rsidR="00DA5406" w:rsidRDefault="00000000">
      <w:pPr>
        <w:pStyle w:val="a0"/>
        <w:spacing w:after="80"/>
      </w:pPr>
      <w:r>
        <w:t>Other available race/ethnicity composition variables include pct_white, pct_asian, pct_american_indian_alaska_native, pct_native_hawaiian_pacific_islander, and pct_other_multiple_race.</w:t>
      </w:r>
    </w:p>
    <w:p w14:paraId="0B542831" w14:textId="77777777" w:rsidR="00DA5406" w:rsidRDefault="00000000">
      <w:pPr>
        <w:pStyle w:val="a0"/>
        <w:spacing w:after="80"/>
      </w:pPr>
      <w:r>
        <w:t>These variables are calculated from tract-level counts divided by Pop2010, so they describe the overall tract composition.</w:t>
      </w:r>
    </w:p>
    <w:p w14:paraId="3696A7A8" w14:textId="77777777" w:rsidR="00DA5406" w:rsidRDefault="00000000">
      <w:pPr>
        <w:spacing w:after="120"/>
      </w:pPr>
      <w:r>
        <w:t>Main control variables:</w:t>
      </w:r>
    </w:p>
    <w:p w14:paraId="4CAAB94A" w14:textId="77777777" w:rsidR="00DA5406" w:rsidRDefault="00000000">
      <w:pPr>
        <w:pStyle w:val="a0"/>
        <w:spacing w:after="80"/>
      </w:pPr>
      <w:r>
        <w:t>poverty_rate and median_family_income measure economic context.</w:t>
      </w:r>
    </w:p>
    <w:p w14:paraId="4C931CE1" w14:textId="77777777" w:rsidR="00DA5406" w:rsidRDefault="00000000">
      <w:pPr>
        <w:pStyle w:val="a0"/>
        <w:spacing w:after="80"/>
      </w:pPr>
      <w:r>
        <w:t>pct_no_vehicle and low_vehicle_access_flag measure vehicle access.</w:t>
      </w:r>
    </w:p>
    <w:p w14:paraId="42C7CB24" w14:textId="77777777" w:rsidR="00DA5406" w:rsidRDefault="00000000">
      <w:pPr>
        <w:pStyle w:val="a0"/>
        <w:spacing w:after="80"/>
      </w:pPr>
      <w:r>
        <w:t>urban_rural controls for the major difference between urban and rural food-access definitions.</w:t>
      </w:r>
    </w:p>
    <w:p w14:paraId="05C8F109" w14:textId="77777777" w:rsidR="00DA5406" w:rsidRDefault="00000000">
      <w:pPr>
        <w:pStyle w:val="a0"/>
        <w:spacing w:after="80"/>
      </w:pPr>
      <w:r>
        <w:t>income_tier can be used for grouped EDA plots before formal modelling.</w:t>
      </w:r>
    </w:p>
    <w:p w14:paraId="08D3884A" w14:textId="77777777" w:rsidR="00DA5406" w:rsidRDefault="00000000">
      <w:pPr>
        <w:spacing w:after="120"/>
      </w:pPr>
      <w:r>
        <w:t>New merged variables:</w:t>
      </w:r>
    </w:p>
    <w:p w14:paraId="36204431" w14:textId="77777777" w:rsidR="00DA5406" w:rsidRDefault="00000000">
      <w:pPr>
        <w:pStyle w:val="a0"/>
        <w:spacing w:after="80"/>
      </w:pPr>
      <w:r>
        <w:t>population_2019_acs and housing_units_2019_acs come from ACS 2019 5-year estimates.</w:t>
      </w:r>
    </w:p>
    <w:p w14:paraId="0EE4E651" w14:textId="77777777" w:rsidR="00DA5406" w:rsidRDefault="00000000">
      <w:pPr>
        <w:pStyle w:val="a0"/>
        <w:spacing w:after="80"/>
      </w:pPr>
      <w:r>
        <w:t>population_change_pct_2010_to_2019 and housing_units_change_pct_2010_to_2019 compare ACS 2019 estimates with the 2010 FARA denominators.</w:t>
      </w:r>
    </w:p>
    <w:p w14:paraId="7E647515" w14:textId="77777777" w:rsidR="00DA5406" w:rsidRDefault="00000000">
      <w:pPr>
        <w:pStyle w:val="a0"/>
        <w:spacing w:after="80"/>
      </w:pPr>
      <w:r>
        <w:t>grocery_stores_2020_county and fast_food_restaurants_2020_county come from the Food Environment Atlas.</w:t>
      </w:r>
    </w:p>
    <w:p w14:paraId="6EECA7A7" w14:textId="77777777" w:rsidR="00DA5406" w:rsidRDefault="00000000">
      <w:pPr>
        <w:pStyle w:val="a0"/>
        <w:spacing w:after="80"/>
      </w:pPr>
      <w:r>
        <w:t>grocery_stores_per_1000_2020_county and fast_food_restaurants_per_1000_2020_county are county-level per-capita food environment measures.</w:t>
      </w:r>
    </w:p>
    <w:p w14:paraId="07E8A9C8" w14:textId="77777777" w:rsidR="00DA5406" w:rsidRDefault="00000000">
      <w:pPr>
        <w:spacing w:after="120"/>
      </w:pPr>
      <w:r>
        <w:t>Quality-check variables:</w:t>
      </w:r>
    </w:p>
    <w:p w14:paraId="03C617BB" w14:textId="77777777" w:rsidR="00DA5406" w:rsidRDefault="00000000">
      <w:pPr>
        <w:pStyle w:val="a0"/>
        <w:spacing w:after="80"/>
      </w:pPr>
      <w:r>
        <w:t>missing_core_analysis_flag identifies rows missing the main variables needed for the core EDA/model.</w:t>
      </w:r>
    </w:p>
    <w:p w14:paraId="61890BA4" w14:textId="77777777" w:rsidR="00DA5406" w:rsidRDefault="00000000">
      <w:pPr>
        <w:pStyle w:val="a0"/>
        <w:spacing w:after="80"/>
      </w:pPr>
      <w:r>
        <w:t>missing_merged_variables_flag identifies rows missing any of the added ACS or Food Environment Atlas variables.</w:t>
      </w:r>
    </w:p>
    <w:p w14:paraId="619080F2" w14:textId="77777777" w:rsidR="00DA5406" w:rsidRDefault="00000000">
      <w:pPr>
        <w:pStyle w:val="a0"/>
        <w:spacing w:after="80"/>
      </w:pPr>
      <w:r>
        <w:t>invalid_vehicle_pct_flag identifies impossible or undefined vehicle-access percentages.</w:t>
      </w:r>
    </w:p>
    <w:p w14:paraId="7FAFB31B" w14:textId="77777777" w:rsidR="00DA5406" w:rsidRDefault="00000000">
      <w:pPr>
        <w:pStyle w:val="a0"/>
        <w:spacing w:after="80"/>
      </w:pPr>
      <w:r>
        <w:t>acs_population_match_flag, acs_housing_match_flag, and food_env_county_match_flag show whether the merged data matched successfully.</w:t>
      </w:r>
    </w:p>
    <w:p w14:paraId="127701EE" w14:textId="45850A2D" w:rsidR="00DA5406" w:rsidRPr="00012205" w:rsidRDefault="00000000">
      <w:pPr>
        <w:spacing w:before="280" w:after="120"/>
        <w:rPr>
          <w:rFonts w:eastAsia="SimSun" w:hint="eastAsia"/>
          <w:lang w:eastAsia="zh-CN"/>
        </w:rPr>
      </w:pPr>
      <w:r>
        <w:rPr>
          <w:b/>
          <w:sz w:val="28"/>
        </w:rPr>
        <w:lastRenderedPageBreak/>
        <w:t>2. Graphs</w:t>
      </w:r>
    </w:p>
    <w:p w14:paraId="45E54207" w14:textId="77777777" w:rsidR="00DA5406" w:rsidRDefault="00000000" w:rsidP="001677C2">
      <w:pPr>
        <w:pStyle w:val="a0"/>
      </w:pPr>
      <w:r>
        <w:t>Histogram of low_access_pct_1_10. This shows the overall distribution of low food access across census tracts.</w:t>
      </w:r>
    </w:p>
    <w:p w14:paraId="0722EE79" w14:textId="77777777" w:rsidR="00DA5406" w:rsidRDefault="00000000" w:rsidP="001677C2">
      <w:pPr>
        <w:pStyle w:val="a0"/>
      </w:pPr>
      <w:r>
        <w:t>Histogram or bar chart of pct_black and/or pct_hispanic. This shows the distribution of the main race/ethnicity predictors.</w:t>
      </w:r>
    </w:p>
    <w:p w14:paraId="622348F5" w14:textId="77777777" w:rsidR="00DA5406" w:rsidRDefault="00000000" w:rsidP="001677C2">
      <w:pPr>
        <w:pStyle w:val="a0"/>
      </w:pPr>
      <w:r>
        <w:t>Scatterplot of pct_black or pct_hispanic against low_access_pct_1_10. This is still the headline bivariate plot.</w:t>
      </w:r>
    </w:p>
    <w:p w14:paraId="7EB2D743" w14:textId="77777777" w:rsidR="00DA5406" w:rsidRDefault="00000000" w:rsidP="001677C2">
      <w:pPr>
        <w:pStyle w:val="a0"/>
      </w:pPr>
      <w:r>
        <w:t>Box plot of low_access_pct_1_10 by urban_rural. This checks whether the outcome behaves differently in urban and rural tracts.</w:t>
      </w:r>
    </w:p>
    <w:p w14:paraId="2DF913A3" w14:textId="77777777" w:rsidR="00DA5406" w:rsidRDefault="00000000" w:rsidP="001677C2">
      <w:pPr>
        <w:pStyle w:val="a0"/>
      </w:pPr>
      <w:r>
        <w:t>Scatterplot of poverty_rate against low_access_pct_1_10. This gives the baseline economic relationship.</w:t>
      </w:r>
    </w:p>
    <w:p w14:paraId="47731614" w14:textId="77777777" w:rsidR="00DA5406" w:rsidRDefault="00000000" w:rsidP="001677C2">
      <w:pPr>
        <w:pStyle w:val="a0"/>
      </w:pPr>
      <w:r>
        <w:t>Grouped box plot using black_pct_bin or hispanic_pct_bin against low_access_pct_1_10, split by income_tier. This previews the idea of holding income relatively stable.</w:t>
      </w:r>
    </w:p>
    <w:p w14:paraId="2522CA25" w14:textId="77777777" w:rsidR="00DA5406" w:rsidRDefault="00000000" w:rsidP="001677C2">
      <w:pPr>
        <w:pStyle w:val="a0"/>
      </w:pPr>
      <w:r>
        <w:t>Optional merged-variable graph: scatterplot or box plot of grocery_stores_per_1000_2020_county or fast_food_restaurants_per_1000_2020_county against low_access_pct_1_10. This should be described as county-level context.</w:t>
      </w:r>
    </w:p>
    <w:p w14:paraId="6F4CC4BE" w14:textId="124B8201" w:rsidR="00DA5406" w:rsidRPr="001677C2" w:rsidRDefault="00000000" w:rsidP="001677C2">
      <w:pPr>
        <w:pStyle w:val="a0"/>
        <w:rPr>
          <w:rFonts w:hint="eastAsia"/>
        </w:rPr>
      </w:pPr>
      <w:r>
        <w:t>Optional merged-variable graph: population_change_pct_2010_to_2019 against low_access_pct_1_10. This can show whether fast-growing or declining tracts have different food-access patterns.</w:t>
      </w:r>
    </w:p>
    <w:sectPr w:rsidR="00DA5406" w:rsidRPr="001677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A3865" w14:textId="77777777" w:rsidR="00E44715" w:rsidRDefault="00E44715" w:rsidP="00960FE8">
      <w:pPr>
        <w:spacing w:after="0" w:line="240" w:lineRule="auto"/>
      </w:pPr>
      <w:r>
        <w:separator/>
      </w:r>
    </w:p>
  </w:endnote>
  <w:endnote w:type="continuationSeparator" w:id="0">
    <w:p w14:paraId="1522C4A5" w14:textId="77777777" w:rsidR="00E44715" w:rsidRDefault="00E44715" w:rsidP="00960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0C991" w14:textId="77777777" w:rsidR="00E44715" w:rsidRDefault="00E44715" w:rsidP="00960FE8">
      <w:pPr>
        <w:spacing w:after="0" w:line="240" w:lineRule="auto"/>
      </w:pPr>
      <w:r>
        <w:separator/>
      </w:r>
    </w:p>
  </w:footnote>
  <w:footnote w:type="continuationSeparator" w:id="0">
    <w:p w14:paraId="033C31CA" w14:textId="77777777" w:rsidR="00E44715" w:rsidRDefault="00E44715" w:rsidP="00960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C85A7E"/>
    <w:multiLevelType w:val="hybridMultilevel"/>
    <w:tmpl w:val="A55A2204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411238">
    <w:abstractNumId w:val="8"/>
  </w:num>
  <w:num w:numId="2" w16cid:durableId="665861332">
    <w:abstractNumId w:val="6"/>
  </w:num>
  <w:num w:numId="3" w16cid:durableId="1024282718">
    <w:abstractNumId w:val="5"/>
  </w:num>
  <w:num w:numId="4" w16cid:durableId="1038778085">
    <w:abstractNumId w:val="4"/>
  </w:num>
  <w:num w:numId="5" w16cid:durableId="22286172">
    <w:abstractNumId w:val="7"/>
  </w:num>
  <w:num w:numId="6" w16cid:durableId="2033721940">
    <w:abstractNumId w:val="3"/>
  </w:num>
  <w:num w:numId="7" w16cid:durableId="1088232973">
    <w:abstractNumId w:val="2"/>
  </w:num>
  <w:num w:numId="8" w16cid:durableId="280655357">
    <w:abstractNumId w:val="1"/>
  </w:num>
  <w:num w:numId="9" w16cid:durableId="614023567">
    <w:abstractNumId w:val="0"/>
  </w:num>
  <w:num w:numId="10" w16cid:durableId="705368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205"/>
    <w:rsid w:val="00034616"/>
    <w:rsid w:val="0006063C"/>
    <w:rsid w:val="0015074B"/>
    <w:rsid w:val="001677C2"/>
    <w:rsid w:val="0029639D"/>
    <w:rsid w:val="00326F90"/>
    <w:rsid w:val="005812EC"/>
    <w:rsid w:val="00960FE8"/>
    <w:rsid w:val="00AA1D8D"/>
    <w:rsid w:val="00B47730"/>
    <w:rsid w:val="00CB0664"/>
    <w:rsid w:val="00DA5406"/>
    <w:rsid w:val="00E447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E254B4"/>
  <w14:defaultImageDpi w14:val="300"/>
  <w15:docId w15:val="{7629C71E-6E75-4BAA-88F8-556E1E98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Kaiyuan Jiang</cp:lastModifiedBy>
  <cp:revision>3</cp:revision>
  <dcterms:created xsi:type="dcterms:W3CDTF">2013-12-23T23:15:00Z</dcterms:created>
  <dcterms:modified xsi:type="dcterms:W3CDTF">2026-08-23T10:05:00Z</dcterms:modified>
  <cp:category/>
</cp:coreProperties>
</file>