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34F0F" w14:textId="77777777" w:rsidR="007248FC" w:rsidRDefault="00BF5888" w:rsidP="00DF31A3">
      <w:pPr>
        <w:jc w:val="center"/>
      </w:pPr>
      <w:r>
        <w:t>Privacy, Ethics and Security</w:t>
      </w:r>
      <w:r w:rsidR="00DF31A3">
        <w:t xml:space="preserve"> Section </w:t>
      </w:r>
    </w:p>
    <w:p w14:paraId="439C8FB2" w14:textId="588E828D" w:rsidR="00DF31A3" w:rsidRDefault="00DF31A3" w:rsidP="00DF31A3">
      <w:pPr>
        <w:jc w:val="center"/>
      </w:pPr>
      <w:r>
        <w:t>Tim</w:t>
      </w:r>
    </w:p>
    <w:p w14:paraId="3F957A00" w14:textId="26F4B4E1" w:rsidR="007248FC" w:rsidRDefault="007248FC" w:rsidP="00DF31A3">
      <w:pPr>
        <w:jc w:val="center"/>
      </w:pPr>
      <w:r>
        <w:t>7</w:t>
      </w:r>
      <w:r w:rsidR="009A5288">
        <w:t>59</w:t>
      </w:r>
      <w:r>
        <w:t xml:space="preserve"> words, 1.5 pages</w:t>
      </w:r>
    </w:p>
    <w:p w14:paraId="74F453D8" w14:textId="77777777" w:rsidR="00DF31A3" w:rsidRDefault="00DF31A3" w:rsidP="00DF31A3">
      <w:pPr>
        <w:jc w:val="center"/>
      </w:pPr>
    </w:p>
    <w:p w14:paraId="59C5DCD1" w14:textId="70A254DE" w:rsidR="00DF31A3" w:rsidRDefault="00DF31A3" w:rsidP="00DF31A3">
      <w:pPr>
        <w:rPr>
          <w:b/>
          <w:bCs/>
          <w:u w:val="single"/>
        </w:rPr>
      </w:pPr>
      <w:r>
        <w:rPr>
          <w:b/>
          <w:bCs/>
          <w:u w:val="single"/>
        </w:rPr>
        <w:t>Ethical Considerations</w:t>
      </w:r>
    </w:p>
    <w:p w14:paraId="6ECAEFD3" w14:textId="392FC0DC" w:rsidR="00B12346" w:rsidRDefault="00DF31A3" w:rsidP="00DF31A3">
      <w:r>
        <w:t xml:space="preserve">This project did not require formal ethics approval. All three datasets are secondary data and are already available to the public. FARA, the ACS and the Food Environment Atlas are all published by USA Government Agencies with none of the data being collected from people directly. The closest we get to any individual is the census tract, which contains population groups between ~1,200 to ~8,000 individuals, keeping them safe and protected from identification within the datasets. </w:t>
      </w:r>
    </w:p>
    <w:p w14:paraId="71AC0B4A" w14:textId="567D67BF" w:rsidR="00942302" w:rsidRDefault="00BB0092" w:rsidP="00DF31A3">
      <w:r>
        <w:t>Within the data itself FARA and FEA (Food Environment At</w:t>
      </w:r>
      <w:r w:rsidR="00942302">
        <w:t>l</w:t>
      </w:r>
      <w:r>
        <w:t>as) don’t contain raw census counts. Instead, they are USDA constructed classifications with decisions layered on top. This shows most in the distance thresholds used to define ‘low access’ (1 mile in Urban Tracts which shifts to 10 miles in Rural Tracts</w:t>
      </w:r>
      <w:r w:rsidR="00BB1CEF" w:rsidRPr="00BB1CEF">
        <w:t xml:space="preserve"> </w:t>
      </w:r>
      <w:r w:rsidR="00BB1CEF" w:rsidRPr="00BB1CEF">
        <w:t>(Economic Research Service, U.S. Department of Agriculture, n.d.)</w:t>
      </w:r>
      <w:r w:rsidR="00BB1CEF">
        <w:t>.</w:t>
      </w:r>
      <w:r>
        <w:rPr>
          <w:b/>
          <w:bCs/>
        </w:rPr>
        <w:t xml:space="preserve"> </w:t>
      </w:r>
      <w:r w:rsidR="00942302">
        <w:rPr>
          <w:b/>
          <w:bCs/>
        </w:rPr>
        <w:t xml:space="preserve"> </w:t>
      </w:r>
      <w:r w:rsidR="00942302">
        <w:t xml:space="preserve">This means the State ranking is more an artefact of how rural a state is, not how underserved it is. A </w:t>
      </w:r>
      <w:r w:rsidR="00B12346">
        <w:t>more rural</w:t>
      </w:r>
      <w:r w:rsidR="00942302">
        <w:t xml:space="preserve"> </w:t>
      </w:r>
      <w:r w:rsidR="00B12346">
        <w:t>S</w:t>
      </w:r>
      <w:r w:rsidR="00942302">
        <w:t>tate will generally rank higher regardless of actual food access, so we had to be careful not to present that ranking as a clean measure of deprivation.</w:t>
      </w:r>
    </w:p>
    <w:p w14:paraId="7B9707F7" w14:textId="20406848" w:rsidR="00942302" w:rsidRDefault="00B12346" w:rsidP="00DF31A3">
      <w:r>
        <w:t>Figure 6 and table 4 both check low food access with race/ethnicity composition and income tier. This kind of inference has a history of being read as if the demographic composition is itself responsible for the outcome, in turn, the more supported explanation is historical redlining, lack of investment and retail location decisions.</w:t>
      </w:r>
      <w:r w:rsidR="00BB1CEF" w:rsidRPr="00BB1CEF">
        <w:t xml:space="preserve"> </w:t>
      </w:r>
      <w:r w:rsidR="00BB1CEF" w:rsidRPr="00BB1CEF">
        <w:t>(George &amp; Tomer, 2021; Zenk et al., 2005)</w:t>
      </w:r>
      <w:r w:rsidR="00BB1CEF">
        <w:t>.</w:t>
      </w:r>
      <w:r>
        <w:rPr>
          <w:b/>
          <w:bCs/>
        </w:rPr>
        <w:t xml:space="preserve"> </w:t>
      </w:r>
      <w:r>
        <w:t xml:space="preserve">Any race/income association is reported as correlated and we note the structural explanation, rather than letting the tables speak for themselves. </w:t>
      </w:r>
    </w:p>
    <w:p w14:paraId="498FB1F6" w14:textId="5E34ECD3" w:rsidR="007248FC" w:rsidRDefault="007248FC" w:rsidP="00DF31A3">
      <w:r>
        <w:t xml:space="preserve">Finally, as a group based in New Zealand analysing a USA dataset part of why we selected the FARA dataset was that food insecurity and its associated outcomes matter in a NZ context too. This doesn’t mean the patterns we find here would translate to New Zealand though given our differences in population, ethnic diversity, policy and settlement patterns. We’re treating our findings as illustrations of the US case rather than using it to directly inform decisions based around New Zealand’s food access. </w:t>
      </w:r>
    </w:p>
    <w:p w14:paraId="2E9FBCB0" w14:textId="14537DFC" w:rsidR="00B12346" w:rsidRDefault="00CE5066" w:rsidP="00DF31A3">
      <w:pPr>
        <w:rPr>
          <w:b/>
          <w:bCs/>
          <w:u w:val="single"/>
        </w:rPr>
      </w:pPr>
      <w:r>
        <w:rPr>
          <w:b/>
          <w:bCs/>
          <w:u w:val="single"/>
        </w:rPr>
        <w:t>Privacy</w:t>
      </w:r>
    </w:p>
    <w:p w14:paraId="54D20423" w14:textId="7EB140F4" w:rsidR="00CE5066" w:rsidRDefault="00CE5066" w:rsidP="00DF31A3">
      <w:r>
        <w:t>None of the datasets used contain individual level records. FARA, ACS and FEA are all published at a broader level, that being census tract</w:t>
      </w:r>
      <w:r w:rsidR="00A8325E">
        <w:t xml:space="preserve"> and county level</w:t>
      </w:r>
      <w:r>
        <w:t xml:space="preserve">. The Census Bureau applies disclosure avoidance methods; suppression, modification and </w:t>
      </w:r>
      <w:r>
        <w:lastRenderedPageBreak/>
        <w:t xml:space="preserve">swapping </w:t>
      </w:r>
      <w:proofErr w:type="gramStart"/>
      <w:r>
        <w:t>in order to</w:t>
      </w:r>
      <w:proofErr w:type="gramEnd"/>
      <w:r>
        <w:t xml:space="preserve"> prevent identification of any individual from ACS data. </w:t>
      </w:r>
      <w:r w:rsidR="00BB1CEF" w:rsidRPr="00BB1CEF">
        <w:t>(U.S. Census Bureau, n.d.)</w:t>
      </w:r>
      <w:r w:rsidR="00BB1CEF">
        <w:t xml:space="preserve">. </w:t>
      </w:r>
      <w:r>
        <w:t>The risk of identifying an</w:t>
      </w:r>
      <w:r w:rsidR="00BF5888">
        <w:t>y</w:t>
      </w:r>
      <w:r>
        <w:t xml:space="preserve"> specific individuals from this data is very low by design before we have even touched it. </w:t>
      </w:r>
    </w:p>
    <w:p w14:paraId="20B01C76" w14:textId="5AA42433" w:rsidR="007E23EF" w:rsidRDefault="00CE5066" w:rsidP="00DF31A3">
      <w:r>
        <w:t xml:space="preserve">Two observations are still prudent, firstly, cross-tabulating variables from the three sources together as we did in Figure 6 and Table 4, (race/ethnicity bin x income tier x urban/rural x state) produces far more in-depth and specific outputs than any single source table on its own. </w:t>
      </w:r>
      <w:r w:rsidR="00A8325E">
        <w:t xml:space="preserve">This does not push below the geographic resolution already present in each source, meaning we are not adding to any identification </w:t>
      </w:r>
      <w:r w:rsidR="00BF5888">
        <w:t>risk.</w:t>
      </w:r>
    </w:p>
    <w:p w14:paraId="0E7B8B49" w14:textId="59DE68C7" w:rsidR="007E23EF" w:rsidRDefault="007E23EF" w:rsidP="00DF31A3">
      <w:r>
        <w:t>Finally, this wasn’t something we restricted to the EDA stage, Figure 5 and Table 4</w:t>
      </w:r>
      <w:r w:rsidR="00A8325E">
        <w:t xml:space="preserve"> name specific states next to low-access and demographic statistics because that made the clearest plot, not because we weighed how identifiable or characterised that made those places. No individuals are named, but real, named places are being associated with poverty, low access and race statistics, which is noteworthy even though it isn’t technically a privacy breach. </w:t>
      </w:r>
    </w:p>
    <w:p w14:paraId="0C390B7F" w14:textId="1E667A44" w:rsidR="00A8325E" w:rsidRDefault="00A8325E" w:rsidP="00DF31A3">
      <w:pPr>
        <w:rPr>
          <w:b/>
          <w:bCs/>
          <w:u w:val="single"/>
        </w:rPr>
      </w:pPr>
      <w:r>
        <w:rPr>
          <w:b/>
          <w:bCs/>
          <w:u w:val="single"/>
        </w:rPr>
        <w:t>Security and what we would do next time</w:t>
      </w:r>
    </w:p>
    <w:p w14:paraId="646578A6" w14:textId="54BA2F75" w:rsidR="00A8325E" w:rsidRDefault="00BF5888" w:rsidP="00DF31A3">
      <w:r>
        <w:t xml:space="preserve">Our analysis, code, cleaned and merged datasets, and report drafts are all stored in a  private GitHub repository which is accessible only to the three of us. This mattered mainly for the derived data that we created as the raw datasets we used are all publicly available as it stands but our merged and cleaned datasets as well as any resulting graphs or inferences are not. By using a private repository, we kept from distributing any product beyond what the agencies themselves released. </w:t>
      </w:r>
    </w:p>
    <w:p w14:paraId="297C5BCC" w14:textId="77777777" w:rsidR="00E4561C" w:rsidRDefault="00BF5888" w:rsidP="00DF31A3">
      <w:r>
        <w:t>With more time, resources and hindsight, there are a few practical steps we could add. We would turn on GitHub access logging so there’s a record of who changed what and when, since currently any of the three of us can edit the repository with no audit trail. We would also write a short data file documenting where each raw source was obtained, on which date and what transformations were applied to it. This is about manageability and reproducibility as well as security, but it directly supports the project. Finally, after the submission for both our group and individual reports are done, we would set an archival or deletion date for our files to prevent any unwanted access further down the line.</w:t>
      </w:r>
    </w:p>
    <w:p w14:paraId="3149FDDC" w14:textId="77777777" w:rsidR="00E4561C" w:rsidRDefault="00E4561C" w:rsidP="00DF31A3"/>
    <w:p w14:paraId="02C9715D" w14:textId="77777777" w:rsidR="00E4561C" w:rsidRDefault="00E4561C" w:rsidP="00DF31A3">
      <w:r>
        <w:t>References:</w:t>
      </w:r>
    </w:p>
    <w:p w14:paraId="5465042D" w14:textId="2319C8CE" w:rsidR="00E4561C" w:rsidRDefault="00E4561C" w:rsidP="00E4561C">
      <w:pPr>
        <w:pStyle w:val="ListParagraph"/>
        <w:numPr>
          <w:ilvl w:val="0"/>
          <w:numId w:val="1"/>
        </w:numPr>
      </w:pPr>
      <w:r w:rsidRPr="00E4561C">
        <w:t xml:space="preserve">Economic Research Service, U.S. Department of Agriculture. (n.d.). </w:t>
      </w:r>
      <w:r w:rsidRPr="00E4561C">
        <w:rPr>
          <w:i/>
          <w:iCs/>
        </w:rPr>
        <w:t>Large retailer access map data sources and technical methods</w:t>
      </w:r>
      <w:r w:rsidRPr="00E4561C">
        <w:t xml:space="preserve">. U.S. Department of Agriculture. </w:t>
      </w:r>
      <w:hyperlink r:id="rId5" w:history="1">
        <w:r w:rsidRPr="00E4561C">
          <w:rPr>
            <w:rStyle w:val="Hyperlink"/>
          </w:rPr>
          <w:t>https://www.ers.usda.gov/data-products/food-access-research-atlas/documentation/large-retailer-access-map-data-sources-and-technical-methods</w:t>
        </w:r>
      </w:hyperlink>
    </w:p>
    <w:p w14:paraId="6B414EC4" w14:textId="7DB7D901" w:rsidR="00E4561C" w:rsidRDefault="00E4561C" w:rsidP="00E4561C">
      <w:pPr>
        <w:pStyle w:val="ListParagraph"/>
        <w:numPr>
          <w:ilvl w:val="0"/>
          <w:numId w:val="1"/>
        </w:numPr>
      </w:pPr>
      <w:r w:rsidRPr="00E4561C">
        <w:lastRenderedPageBreak/>
        <w:t xml:space="preserve">George, C., &amp; Tomer, A. (2021, August 17). Beyond 'food deserts': America needs a new approach to mapping food insecurity. </w:t>
      </w:r>
      <w:r w:rsidRPr="00E4561C">
        <w:rPr>
          <w:i/>
          <w:iCs/>
        </w:rPr>
        <w:t>Brookings</w:t>
      </w:r>
      <w:r w:rsidRPr="00E4561C">
        <w:t xml:space="preserve">. </w:t>
      </w:r>
      <w:hyperlink r:id="rId6" w:history="1">
        <w:r w:rsidRPr="00E4561C">
          <w:rPr>
            <w:rStyle w:val="Hyperlink"/>
          </w:rPr>
          <w:t>https://www.brookings.edu/articles/beyond-food-deserts-america-needs-a-new-approach-to-mapping-food-insecurity/</w:t>
        </w:r>
      </w:hyperlink>
      <w:r w:rsidR="00BF5888">
        <w:t xml:space="preserve"> </w:t>
      </w:r>
    </w:p>
    <w:p w14:paraId="5D610330" w14:textId="2ADB9AF1" w:rsidR="00E4561C" w:rsidRDefault="00E4561C" w:rsidP="00BB1CEF">
      <w:pPr>
        <w:rPr>
          <w:b/>
          <w:bCs/>
        </w:rPr>
      </w:pPr>
    </w:p>
    <w:p w14:paraId="0ED9008D" w14:textId="62DCCBD8" w:rsidR="00E4561C" w:rsidRDefault="00E4561C" w:rsidP="00BB1CEF">
      <w:pPr>
        <w:pStyle w:val="ListParagraph"/>
        <w:numPr>
          <w:ilvl w:val="0"/>
          <w:numId w:val="1"/>
        </w:numPr>
      </w:pPr>
      <w:r w:rsidRPr="00E4561C">
        <w:t xml:space="preserve">Zenk, S. N., Schulz, A. J., Israel, B. A., James, S. A., Bao, S., &amp; Wilson, M. L. (2005). Neighborhood racial composition, neighborhood poverty, and supermarket accessibility in metropolitan Detroit. </w:t>
      </w:r>
      <w:r w:rsidRPr="00BB1CEF">
        <w:rPr>
          <w:i/>
          <w:iCs/>
        </w:rPr>
        <w:t>American Journal of Public Health</w:t>
      </w:r>
      <w:r w:rsidRPr="00E4561C">
        <w:t>, 95(4), 660–667.</w:t>
      </w:r>
    </w:p>
    <w:p w14:paraId="5D248E46" w14:textId="77777777" w:rsidR="00BB1CEF" w:rsidRDefault="00BB1CEF" w:rsidP="00BB1CEF">
      <w:pPr>
        <w:pStyle w:val="ListParagraph"/>
      </w:pPr>
    </w:p>
    <w:p w14:paraId="7F117E3B" w14:textId="77777777" w:rsidR="00BB1CEF" w:rsidRDefault="00BB1CEF" w:rsidP="00BB1CEF">
      <w:pPr>
        <w:pStyle w:val="ListParagraph"/>
      </w:pPr>
    </w:p>
    <w:p w14:paraId="5C4A262B" w14:textId="14570ACE" w:rsidR="00E4561C" w:rsidRPr="00BF5888" w:rsidRDefault="00E4561C" w:rsidP="00E4561C">
      <w:pPr>
        <w:pStyle w:val="ListParagraph"/>
        <w:numPr>
          <w:ilvl w:val="0"/>
          <w:numId w:val="1"/>
        </w:numPr>
      </w:pPr>
      <w:r w:rsidRPr="00E4561C">
        <w:t xml:space="preserve">U.S. Census Bureau. (n.d.). </w:t>
      </w:r>
      <w:r w:rsidRPr="00E4561C">
        <w:rPr>
          <w:i/>
          <w:iCs/>
        </w:rPr>
        <w:t>American Community Survey disclosure avoidance</w:t>
      </w:r>
      <w:r w:rsidRPr="00E4561C">
        <w:t xml:space="preserve">. U.S. Department of Commerce. Retrieved August 30, 2026, from </w:t>
      </w:r>
      <w:hyperlink r:id="rId7" w:history="1">
        <w:r w:rsidRPr="00E4561C">
          <w:rPr>
            <w:rStyle w:val="Hyperlink"/>
          </w:rPr>
          <w:t>https://www.census.gov/programs-surveys/acs/methodology/disclosure-avoidance.html</w:t>
        </w:r>
      </w:hyperlink>
    </w:p>
    <w:sectPr w:rsidR="00E4561C" w:rsidRPr="00BF58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8479B"/>
    <w:multiLevelType w:val="hybridMultilevel"/>
    <w:tmpl w:val="55C4BBC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372800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1A3"/>
    <w:rsid w:val="004B3C37"/>
    <w:rsid w:val="005D2541"/>
    <w:rsid w:val="00634EC2"/>
    <w:rsid w:val="007248FC"/>
    <w:rsid w:val="007E23EF"/>
    <w:rsid w:val="00942302"/>
    <w:rsid w:val="009744D1"/>
    <w:rsid w:val="009A5288"/>
    <w:rsid w:val="00A8325E"/>
    <w:rsid w:val="00B12346"/>
    <w:rsid w:val="00BB0092"/>
    <w:rsid w:val="00BB1CEF"/>
    <w:rsid w:val="00BF5888"/>
    <w:rsid w:val="00CE5066"/>
    <w:rsid w:val="00D26953"/>
    <w:rsid w:val="00DF31A3"/>
    <w:rsid w:val="00E4561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EAD36"/>
  <w15:chartTrackingRefBased/>
  <w15:docId w15:val="{42685CE4-D6D9-4CA2-8E74-49C9E0E7D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1A3"/>
    <w:rPr>
      <w:rFonts w:eastAsiaTheme="majorEastAsia" w:cstheme="majorBidi"/>
      <w:color w:val="272727" w:themeColor="text1" w:themeTint="D8"/>
    </w:rPr>
  </w:style>
  <w:style w:type="paragraph" w:styleId="Title">
    <w:name w:val="Title"/>
    <w:basedOn w:val="Normal"/>
    <w:next w:val="Normal"/>
    <w:link w:val="TitleChar"/>
    <w:uiPriority w:val="10"/>
    <w:qFormat/>
    <w:rsid w:val="00DF3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1A3"/>
    <w:pPr>
      <w:spacing w:before="160"/>
      <w:jc w:val="center"/>
    </w:pPr>
    <w:rPr>
      <w:i/>
      <w:iCs/>
      <w:color w:val="404040" w:themeColor="text1" w:themeTint="BF"/>
    </w:rPr>
  </w:style>
  <w:style w:type="character" w:customStyle="1" w:styleId="QuoteChar">
    <w:name w:val="Quote Char"/>
    <w:basedOn w:val="DefaultParagraphFont"/>
    <w:link w:val="Quote"/>
    <w:uiPriority w:val="29"/>
    <w:rsid w:val="00DF31A3"/>
    <w:rPr>
      <w:i/>
      <w:iCs/>
      <w:color w:val="404040" w:themeColor="text1" w:themeTint="BF"/>
    </w:rPr>
  </w:style>
  <w:style w:type="paragraph" w:styleId="ListParagraph">
    <w:name w:val="List Paragraph"/>
    <w:basedOn w:val="Normal"/>
    <w:uiPriority w:val="34"/>
    <w:qFormat/>
    <w:rsid w:val="00DF31A3"/>
    <w:pPr>
      <w:ind w:left="720"/>
      <w:contextualSpacing/>
    </w:pPr>
  </w:style>
  <w:style w:type="character" w:styleId="IntenseEmphasis">
    <w:name w:val="Intense Emphasis"/>
    <w:basedOn w:val="DefaultParagraphFont"/>
    <w:uiPriority w:val="21"/>
    <w:qFormat/>
    <w:rsid w:val="00DF31A3"/>
    <w:rPr>
      <w:i/>
      <w:iCs/>
      <w:color w:val="0F4761" w:themeColor="accent1" w:themeShade="BF"/>
    </w:rPr>
  </w:style>
  <w:style w:type="paragraph" w:styleId="IntenseQuote">
    <w:name w:val="Intense Quote"/>
    <w:basedOn w:val="Normal"/>
    <w:next w:val="Normal"/>
    <w:link w:val="IntenseQuoteChar"/>
    <w:uiPriority w:val="30"/>
    <w:qFormat/>
    <w:rsid w:val="00DF3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1A3"/>
    <w:rPr>
      <w:i/>
      <w:iCs/>
      <w:color w:val="0F4761" w:themeColor="accent1" w:themeShade="BF"/>
    </w:rPr>
  </w:style>
  <w:style w:type="character" w:styleId="IntenseReference">
    <w:name w:val="Intense Reference"/>
    <w:basedOn w:val="DefaultParagraphFont"/>
    <w:uiPriority w:val="32"/>
    <w:qFormat/>
    <w:rsid w:val="00DF31A3"/>
    <w:rPr>
      <w:b/>
      <w:bCs/>
      <w:smallCaps/>
      <w:color w:val="0F4761" w:themeColor="accent1" w:themeShade="BF"/>
      <w:spacing w:val="5"/>
    </w:rPr>
  </w:style>
  <w:style w:type="paragraph" w:styleId="Revision">
    <w:name w:val="Revision"/>
    <w:hidden/>
    <w:uiPriority w:val="99"/>
    <w:semiHidden/>
    <w:rsid w:val="00DF31A3"/>
    <w:pPr>
      <w:spacing w:after="0" w:line="240" w:lineRule="auto"/>
    </w:pPr>
  </w:style>
  <w:style w:type="character" w:styleId="Hyperlink">
    <w:name w:val="Hyperlink"/>
    <w:basedOn w:val="DefaultParagraphFont"/>
    <w:uiPriority w:val="99"/>
    <w:unhideWhenUsed/>
    <w:rsid w:val="00E4561C"/>
    <w:rPr>
      <w:color w:val="467886" w:themeColor="hyperlink"/>
      <w:u w:val="single"/>
    </w:rPr>
  </w:style>
  <w:style w:type="character" w:styleId="UnresolvedMention">
    <w:name w:val="Unresolved Mention"/>
    <w:basedOn w:val="DefaultParagraphFont"/>
    <w:uiPriority w:val="99"/>
    <w:semiHidden/>
    <w:unhideWhenUsed/>
    <w:rsid w:val="00E456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ensus.gov/programs-surveys/acs/methodology/disclosure-avoidanc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ookings.edu/articles/beyond-food-deserts-america-needs-a-new-approach-to-mapping-food-insecurity/" TargetMode="External"/><Relationship Id="rId5" Type="http://schemas.openxmlformats.org/officeDocument/2006/relationships/hyperlink" Target="https://www.ers.usda.gov/data-products/food-access-research-atlas/documentation/large-retailer-access-map-data-sources-and-technical-metho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Donkin</dc:creator>
  <cp:keywords/>
  <dc:description/>
  <cp:lastModifiedBy>Timothy Donkin</cp:lastModifiedBy>
  <cp:revision>2</cp:revision>
  <dcterms:created xsi:type="dcterms:W3CDTF">2026-08-30T03:24:00Z</dcterms:created>
  <dcterms:modified xsi:type="dcterms:W3CDTF">2026-08-30T03:24:00Z</dcterms:modified>
</cp:coreProperties>
</file>