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73D41" w:rsidRDefault="00173D41" w:rsidP="00173D41">
      <w:pPr>
        <w:spacing w:line="480" w:lineRule="auto"/>
        <w:jc w:val="center"/>
      </w:pPr>
      <w:r>
        <w:rPr>
          <w:b/>
          <w:bCs/>
        </w:rPr>
        <w:t>Module 9: Project Narrative</w:t>
      </w:r>
    </w:p>
    <w:p w:rsidR="00173D41" w:rsidRDefault="00173D41" w:rsidP="00173D41">
      <w:pPr>
        <w:spacing w:line="480" w:lineRule="auto"/>
        <w:jc w:val="center"/>
      </w:pPr>
    </w:p>
    <w:p w:rsidR="00173D41" w:rsidRDefault="00173D41" w:rsidP="00173D41">
      <w:pPr>
        <w:spacing w:line="480" w:lineRule="auto"/>
        <w:jc w:val="center"/>
      </w:pPr>
      <w:r>
        <w:t>Samantha Durr</w:t>
      </w:r>
    </w:p>
    <w:p w:rsidR="00173D41" w:rsidRDefault="00173D41" w:rsidP="00173D41">
      <w:pPr>
        <w:jc w:val="center"/>
      </w:pPr>
    </w:p>
    <w:p w:rsidR="00173D41" w:rsidRDefault="00173D41" w:rsidP="00173D41">
      <w:pPr>
        <w:jc w:val="center"/>
      </w:pPr>
      <w:r>
        <w:t>Computer Science, Southern New Hampshire University</w:t>
      </w:r>
    </w:p>
    <w:p w:rsidR="00173D41" w:rsidRDefault="00173D41" w:rsidP="00173D41">
      <w:pPr>
        <w:jc w:val="center"/>
      </w:pPr>
    </w:p>
    <w:p w:rsidR="00173D41" w:rsidRDefault="00173D41" w:rsidP="00173D41">
      <w:pPr>
        <w:jc w:val="center"/>
      </w:pPr>
      <w:r>
        <w:t>CS 540: Data Literacy and Visualization</w:t>
      </w:r>
    </w:p>
    <w:p w:rsidR="00173D41" w:rsidRDefault="00173D41" w:rsidP="00173D41">
      <w:pPr>
        <w:jc w:val="center"/>
      </w:pPr>
    </w:p>
    <w:p w:rsidR="00173D41" w:rsidRDefault="00173D41" w:rsidP="00173D41">
      <w:pPr>
        <w:jc w:val="center"/>
      </w:pPr>
      <w:r>
        <w:t>March 30, 2026</w:t>
      </w:r>
    </w:p>
    <w:p w:rsidR="00173D41" w:rsidRDefault="00173D41" w:rsidP="00173D41">
      <w:pPr>
        <w:spacing w:line="480" w:lineRule="auto"/>
        <w:ind w:firstLine="720"/>
      </w:pPr>
      <w:r>
        <w:br w:type="page"/>
      </w:r>
    </w:p>
    <w:p w:rsidR="00C738AE" w:rsidRDefault="00173D41" w:rsidP="009B72C2">
      <w:pPr>
        <w:spacing w:line="480" w:lineRule="auto"/>
      </w:pPr>
      <w:r>
        <w:lastRenderedPageBreak/>
        <w:tab/>
      </w:r>
      <w:r w:rsidR="00C738AE">
        <w:t>Book sales have evolved over time. As the world has turned more digital, it isn’t uncommon for a person to purchase an eBook over a physical book. This change in the landscape of publishing</w:t>
      </w:r>
      <w:r w:rsidR="00083146">
        <w:t xml:space="preserve"> provides the consumer with a broader range of options for their reading needs</w:t>
      </w:r>
      <w:r w:rsidR="00C738AE">
        <w:t>. A large distributor of this content, both physical and eBook related, is Amazon. To that end, the University of California San Diego collected data for both Books and Kindle Store that span</w:t>
      </w:r>
      <w:r w:rsidR="00A42286">
        <w:t>s</w:t>
      </w:r>
      <w:r w:rsidR="006F3327">
        <w:t xml:space="preserve"> from</w:t>
      </w:r>
      <w:r w:rsidR="00C738AE">
        <w:t xml:space="preserve"> 199</w:t>
      </w:r>
      <w:r w:rsidR="00F2009C">
        <w:t>7</w:t>
      </w:r>
      <w:r w:rsidR="00C738AE">
        <w:t xml:space="preserve"> to the present. </w:t>
      </w:r>
    </w:p>
    <w:p w:rsidR="009B72C2" w:rsidRDefault="00C738AE" w:rsidP="00C738AE">
      <w:pPr>
        <w:spacing w:line="480" w:lineRule="auto"/>
        <w:ind w:firstLine="720"/>
      </w:pPr>
      <w:r>
        <w:t>For this project, I used the datasets to compare rating patterns, rating trends over time, and review volume across two formats. These insights serve different groups of stakeholders: publishing executives and mark</w:t>
      </w:r>
      <w:r w:rsidR="000C282A">
        <w:t>et</w:t>
      </w:r>
      <w:r>
        <w:t xml:space="preserve">ing/engagement teams. For the Publishing executives, their focus is </w:t>
      </w:r>
      <w:r w:rsidR="000C282A">
        <w:t>on</w:t>
      </w:r>
      <w:r>
        <w:t xml:space="preserve"> long-term format preference and customer satisfaction. This </w:t>
      </w:r>
      <w:r w:rsidR="00A6093A">
        <w:t>requires</w:t>
      </w:r>
      <w:r>
        <w:t xml:space="preserve"> a high-level approach. As for the marketing/engagement teams, they focus on review behavior and opportunities for audience outreach. </w:t>
      </w:r>
      <w:r w:rsidR="000C282A">
        <w:t>This work helps identify which format and genres are gaining traction and which areas are losing it. This information influences how publishing houses allocate their resources and where to focus on future releases.</w:t>
      </w:r>
    </w:p>
    <w:p w:rsidR="006F3327" w:rsidRPr="006F3327" w:rsidRDefault="006F3327" w:rsidP="006F3327">
      <w:pPr>
        <w:spacing w:line="480" w:lineRule="auto"/>
        <w:rPr>
          <w:b/>
          <w:bCs/>
        </w:rPr>
      </w:pPr>
      <w:r>
        <w:rPr>
          <w:b/>
          <w:bCs/>
        </w:rPr>
        <w:t>The Stakeholders and Their Visualizations</w:t>
      </w:r>
    </w:p>
    <w:p w:rsidR="000C282A" w:rsidRDefault="000C282A" w:rsidP="00C738AE">
      <w:pPr>
        <w:spacing w:line="480" w:lineRule="auto"/>
        <w:ind w:firstLine="720"/>
      </w:pPr>
      <w:r>
        <w:t xml:space="preserve">To delve further into the stakeholders, they need a bit more than what </w:t>
      </w:r>
      <w:r w:rsidR="009902B1">
        <w:t xml:space="preserve">was shared earlier. </w:t>
      </w:r>
      <w:r w:rsidR="0078547B">
        <w:t>The first group is the</w:t>
      </w:r>
      <w:r w:rsidR="009902B1">
        <w:t xml:space="preserve"> publishing executives. This group decides where to invest money for formatting, allocate resources, and long-term planning. Their goal is to keep the publishing house thriving and succeeding. This results in them needing information such as long-term format performance. They need to know about customer satisfaction trends and </w:t>
      </w:r>
      <w:r w:rsidR="006F3327">
        <w:t xml:space="preserve">the </w:t>
      </w:r>
      <w:r w:rsidR="009902B1">
        <w:t>stability of ratings over time. This means that they look at the information to see what formats maintain stronger reader loyalty and where to invest resources</w:t>
      </w:r>
      <w:r w:rsidR="006F3327">
        <w:t>.</w:t>
      </w:r>
      <w:r w:rsidR="00083146">
        <w:t xml:space="preserve"> T</w:t>
      </w:r>
      <w:r w:rsidR="009902B1">
        <w:t xml:space="preserve">his relates to the data gathered </w:t>
      </w:r>
      <w:r w:rsidR="00083146">
        <w:t>through</w:t>
      </w:r>
      <w:r w:rsidR="009902B1">
        <w:t xml:space="preserve"> the rating distributions</w:t>
      </w:r>
      <w:r w:rsidR="00083146">
        <w:t>. Ratings are a way to show which format has a stronger sentiment among readers</w:t>
      </w:r>
      <w:r w:rsidR="009902B1">
        <w:t xml:space="preserve">. It </w:t>
      </w:r>
      <w:r w:rsidR="009902B1">
        <w:lastRenderedPageBreak/>
        <w:t>shows rating trends and whether that sentiment is stable or shifting. The review volume is a proxy for engagement patterns and sales potential.</w:t>
      </w:r>
    </w:p>
    <w:p w:rsidR="009902B1" w:rsidRDefault="009902B1" w:rsidP="00C738AE">
      <w:pPr>
        <w:spacing w:line="480" w:lineRule="auto"/>
        <w:ind w:firstLine="720"/>
      </w:pPr>
      <w:r>
        <w:t xml:space="preserve">So, the question becomes, how do they use it? They use it in strategic planning, format prioritization, forecasting the demand, and deciding where to expand or scale back. This is what gives them broad trends, format comparisons, and long-term patterns. This makes </w:t>
      </w:r>
      <w:r w:rsidR="00DF13ED">
        <w:t>bar charts</w:t>
      </w:r>
      <w:r>
        <w:t xml:space="preserve"> important because it’s a quick look to see </w:t>
      </w:r>
      <w:r w:rsidR="003732E8">
        <w:t>which format is doing better</w:t>
      </w:r>
      <w:r>
        <w:t>. Line graphs can also be helpful in showing trends over time, but what they look at is the numbers that a person sees in a bar chart more than the deeper spikes and dips one expects in a line graph.</w:t>
      </w:r>
    </w:p>
    <w:p w:rsidR="009902B1" w:rsidRDefault="009546C2" w:rsidP="00C738AE">
      <w:pPr>
        <w:spacing w:line="480" w:lineRule="auto"/>
        <w:ind w:firstLine="720"/>
      </w:pPr>
      <w:r>
        <w:t>The high-level</w:t>
      </w:r>
      <w:r w:rsidR="009902B1">
        <w:t xml:space="preserve"> customization for the publishing executives is to use a bar chart</w:t>
      </w:r>
      <w:r>
        <w:t>.</w:t>
      </w:r>
      <w:r w:rsidR="009902B1">
        <w:t xml:space="preserve"> </w:t>
      </w:r>
      <w:r>
        <w:t xml:space="preserve">With the current </w:t>
      </w:r>
      <w:r w:rsidR="009902B1">
        <w:t xml:space="preserve">datasets, this is a chart labelled “Distribution of Ratings: Books vs. Kindle Products”. </w:t>
      </w:r>
      <w:r w:rsidR="0078547B">
        <w:t xml:space="preserve">The graph itself is broken into a side-by-side bar chart that shows the standard 1-5 rating scale. It indicates the number of reviews along the y-axis and the rating along the x-axis. To make sure it’s readable to everyone, it uses a colorblind </w:t>
      </w:r>
      <w:r>
        <w:t>palette</w:t>
      </w:r>
      <w:r w:rsidR="0078547B">
        <w:t xml:space="preserve">. This chart </w:t>
      </w:r>
      <w:r>
        <w:t>allows for</w:t>
      </w:r>
      <w:r w:rsidR="0078547B">
        <w:t xml:space="preserve"> a quick glance that can tell the executives who gets what in terms of </w:t>
      </w:r>
      <w:r>
        <w:t>ratings</w:t>
      </w:r>
      <w:r w:rsidR="0078547B">
        <w:t xml:space="preserve">. With the different products being next to each other, a person can quickly see which bar has the higher number of reviews for each of the five rating levels. A quick example is that for anything 1-4 stars, kindle is higher than physical books. However, this changes in that physical books have higher 5-star ratings than kindle. This is a quick glance that gives them knowledge to make a decision on whether or not to allocate resources based on </w:t>
      </w:r>
      <w:r w:rsidR="006B20B0">
        <w:t>prioritizing formats</w:t>
      </w:r>
      <w:r w:rsidR="0078547B">
        <w:t>.</w:t>
      </w:r>
    </w:p>
    <w:p w:rsidR="006B20B0" w:rsidRDefault="006B20B0" w:rsidP="00C738AE">
      <w:pPr>
        <w:spacing w:line="480" w:lineRule="auto"/>
        <w:ind w:firstLine="720"/>
      </w:pPr>
      <w:r>
        <w:t xml:space="preserve">With what the executives need in terms of data, it’s best to then look at what marketing/engagement teams need for their own data. </w:t>
      </w:r>
      <w:r w:rsidR="00570E2F">
        <w:t>To start with, they need focused data</w:t>
      </w:r>
      <w:r w:rsidR="008138EB">
        <w:t xml:space="preserve"> that provides insight </w:t>
      </w:r>
      <w:r w:rsidR="009546C2">
        <w:t>on</w:t>
      </w:r>
      <w:r w:rsidR="008138EB">
        <w:t xml:space="preserve"> specific trends for engagement, timing, and sentiment</w:t>
      </w:r>
      <w:r w:rsidR="00570E2F">
        <w:t xml:space="preserve">. This is because they monitor reader behavior, track engagement patterns, identify rising/declining interest, time </w:t>
      </w:r>
      <w:r w:rsidR="00570E2F">
        <w:lastRenderedPageBreak/>
        <w:t xml:space="preserve">campaigns/outreach, support genre/format position, and shape how books are presented to readers. This results in making short-term engagement decisions. This information </w:t>
      </w:r>
      <w:r w:rsidR="009546C2">
        <w:t xml:space="preserve">helps </w:t>
      </w:r>
      <w:r w:rsidR="003732E8">
        <w:t>marketing inform</w:t>
      </w:r>
      <w:r w:rsidR="009546C2">
        <w:t xml:space="preserve"> the</w:t>
      </w:r>
      <w:r w:rsidR="00DF13ED">
        <w:t xml:space="preserve"> </w:t>
      </w:r>
      <w:r w:rsidR="009546C2">
        <w:t>executives for their own decision-making process</w:t>
      </w:r>
      <w:r w:rsidR="00570E2F">
        <w:t>. This means that marketing and engagement teams need to know when readers are active, how readers respond, what formats generate more interaction, which genres are gaining traction, how sentiment shifts over time, and where engagement spikes or drops. This is where trend charts are important because they can show that over time trend.</w:t>
      </w:r>
    </w:p>
    <w:p w:rsidR="00570E2F" w:rsidRDefault="009546C2" w:rsidP="00570E2F">
      <w:pPr>
        <w:spacing w:line="480" w:lineRule="auto"/>
        <w:ind w:firstLine="720"/>
      </w:pPr>
      <w:r>
        <w:t>This leads to my insight</w:t>
      </w:r>
      <w:r w:rsidR="00A6093A">
        <w:t xml:space="preserve"> </w:t>
      </w:r>
      <w:r>
        <w:t>visualization called</w:t>
      </w:r>
      <w:r w:rsidR="00570E2F">
        <w:t xml:space="preserve"> “Average Rating Trend Over Time (Books vs Kindle)”. This is a line chart that compares books and kindle. The graph is using the colorblind palette to make it readable to everyone with two distinct lines that are clearly identified to avoid overloading the information. This is meant to allow for a quick read by the stakeholder without having to interpret where each datapoint falls. The </w:t>
      </w:r>
      <w:r w:rsidR="00A6093A">
        <w:t>y-axis</w:t>
      </w:r>
      <w:r w:rsidR="00570E2F">
        <w:t xml:space="preserve"> is the average rating ranging from a starting mark of 3.6 to 5.0 on the lines. The x-axis shows the years 2000 to 2015 in 5-year increments. The data lines extend past the</w:t>
      </w:r>
      <w:r w:rsidR="00DF13ED">
        <w:t xml:space="preserve"> set points, but this is for readability</w:t>
      </w:r>
      <w:r w:rsidR="008138EB">
        <w:t>.</w:t>
      </w:r>
    </w:p>
    <w:p w:rsidR="00570E2F" w:rsidRDefault="00570E2F" w:rsidP="00570E2F">
      <w:pPr>
        <w:spacing w:line="480" w:lineRule="auto"/>
        <w:ind w:firstLine="720"/>
      </w:pPr>
      <w:r>
        <w:t xml:space="preserve">What this does for the stakeholder is </w:t>
      </w:r>
      <w:r w:rsidR="00EF242E">
        <w:t>lets them</w:t>
      </w:r>
      <w:r>
        <w:t xml:space="preserve"> see which ratings have a higher grouping over time. It shows that Kindle has a trend towards lower ratings, whereas </w:t>
      </w:r>
      <w:r w:rsidR="00EF242E">
        <w:t xml:space="preserve">physical </w:t>
      </w:r>
      <w:r>
        <w:t xml:space="preserve">books have a trend towards higher ones. This also lets the teams see where engagement is showing and where it may dip. As it stands, the current chart does show a massive dip at one point between 2000 and 2005 in </w:t>
      </w:r>
      <w:r w:rsidR="00EF242E">
        <w:t xml:space="preserve">physical </w:t>
      </w:r>
      <w:r>
        <w:t>book ratings, but it recovered and remains higher than Kindle</w:t>
      </w:r>
      <w:r w:rsidR="00EF242E">
        <w:t xml:space="preserve"> otherwise</w:t>
      </w:r>
      <w:r>
        <w:t xml:space="preserve">. This lets the marketing and engagement teams </w:t>
      </w:r>
      <w:r w:rsidR="00EF242E">
        <w:t xml:space="preserve">consider campaigns such as </w:t>
      </w:r>
      <w:r>
        <w:t xml:space="preserve">book tours </w:t>
      </w:r>
      <w:r w:rsidR="00EF242E">
        <w:t>to</w:t>
      </w:r>
      <w:r>
        <w:t xml:space="preserve"> increase the</w:t>
      </w:r>
      <w:r w:rsidR="008138EB">
        <w:t xml:space="preserve"> sales of physical books and </w:t>
      </w:r>
      <w:r w:rsidR="00A6093A">
        <w:t xml:space="preserve">help physical books </w:t>
      </w:r>
      <w:r w:rsidR="00EF242E">
        <w:t xml:space="preserve">continue to </w:t>
      </w:r>
      <w:r w:rsidR="008138EB">
        <w:t>receiv</w:t>
      </w:r>
      <w:r w:rsidR="00EF242E">
        <w:t>e</w:t>
      </w:r>
      <w:r w:rsidR="008138EB">
        <w:t xml:space="preserve"> high ratings.</w:t>
      </w:r>
    </w:p>
    <w:p w:rsidR="00F2009C" w:rsidRDefault="008138EB" w:rsidP="00570E2F">
      <w:pPr>
        <w:spacing w:line="480" w:lineRule="auto"/>
        <w:ind w:firstLine="720"/>
      </w:pPr>
      <w:r>
        <w:t>However, there’s one part to stakeholders that can be missed</w:t>
      </w:r>
      <w:r w:rsidR="00272885">
        <w:t>. While stakeholders</w:t>
      </w:r>
      <w:r>
        <w:t xml:space="preserve"> have their general focuses</w:t>
      </w:r>
      <w:r w:rsidR="00272885">
        <w:t>, they can share a visualization</w:t>
      </w:r>
      <w:r>
        <w:t xml:space="preserve">. The main difference is how they interpret </w:t>
      </w:r>
      <w:r>
        <w:lastRenderedPageBreak/>
        <w:t xml:space="preserve">the data in that chart. </w:t>
      </w:r>
      <w:r w:rsidR="00F2009C">
        <w:t>This is due to the fact that each group has different goals. The data can still rely on overlapping, but their goals for decision-making will remain different. That is why a single visualization can support both groups.</w:t>
      </w:r>
    </w:p>
    <w:p w:rsidR="008138EB" w:rsidRDefault="00F2009C" w:rsidP="00570E2F">
      <w:pPr>
        <w:spacing w:line="480" w:lineRule="auto"/>
        <w:ind w:firstLine="720"/>
      </w:pPr>
      <w:r>
        <w:t xml:space="preserve">In regard to my own work, there is a third visualization that is one shared by both the publishing executives and the marketing/engagement teams. </w:t>
      </w:r>
      <w:r w:rsidR="008138EB">
        <w:t>This is a stacked bar chart labelled “Review Volume Over Time (Books vs. Kindle)”</w:t>
      </w:r>
      <w:r>
        <w:t xml:space="preserve"> that shows total volume and can also show </w:t>
      </w:r>
      <w:r w:rsidR="00272885">
        <w:t xml:space="preserve">the </w:t>
      </w:r>
      <w:r>
        <w:t>relative contribution of each format</w:t>
      </w:r>
      <w:r w:rsidR="008138EB">
        <w:t xml:space="preserve">. Once again, this is using the colorblind palette to ensure that it’s readable </w:t>
      </w:r>
      <w:r w:rsidR="00272885">
        <w:t>for</w:t>
      </w:r>
      <w:r w:rsidR="008138EB">
        <w:t xml:space="preserve"> everyone. </w:t>
      </w:r>
      <w:r>
        <w:t xml:space="preserve">The x-axis </w:t>
      </w:r>
      <w:r w:rsidR="00A6093A">
        <w:t>shows</w:t>
      </w:r>
      <w:r>
        <w:t xml:space="preserve"> the years from 1997-2018. The y-axis is the number of reviews and starts at 0 and goes to 1600 using 200 units between each measurement on the chart. What this data shows is how the reviews stack up over time</w:t>
      </w:r>
      <w:r w:rsidR="00272885">
        <w:t>. It</w:t>
      </w:r>
      <w:r>
        <w:t xml:space="preserve"> also shows who has more reviews. Since this is focused on amazon specifically, it’s easy to see where Kindle started, which shows in the chart at 1999, and where Amazon data is either lacking or didn’t exist. In this case it</w:t>
      </w:r>
      <w:r w:rsidR="001F134C">
        <w:t>’</w:t>
      </w:r>
      <w:r>
        <w:t>s seen with zero data in 1997.</w:t>
      </w:r>
    </w:p>
    <w:p w:rsidR="00F2009C" w:rsidRDefault="00F2009C" w:rsidP="00F2009C">
      <w:pPr>
        <w:spacing w:line="480" w:lineRule="auto"/>
        <w:ind w:firstLine="720"/>
      </w:pPr>
      <w:r>
        <w:t xml:space="preserve">When looking at it </w:t>
      </w:r>
      <w:r w:rsidR="001F134C">
        <w:t>for</w:t>
      </w:r>
      <w:r>
        <w:t xml:space="preserve"> both groups, it allows for each group to quickly see that kindle started strong in terms of reviews, but was </w:t>
      </w:r>
      <w:r w:rsidR="001F134C">
        <w:t xml:space="preserve">then </w:t>
      </w:r>
      <w:r>
        <w:t xml:space="preserve">overtaken by physical books as time progressed. For publishing executives, this helps to reinforce whether or not to focus more on physical books over kindle in the long-term. For the marketing/engagement teams, this lets them see where reviews are coming from to know if they should focus on marketing physical books </w:t>
      </w:r>
      <w:r w:rsidR="001F134C">
        <w:t>or</w:t>
      </w:r>
      <w:r>
        <w:t xml:space="preserve"> eBooks. This chart could be</w:t>
      </w:r>
      <w:r w:rsidR="00DF13ED">
        <w:t xml:space="preserve"> </w:t>
      </w:r>
      <w:r>
        <w:t>about the reviews per genre</w:t>
      </w:r>
      <w:r w:rsidR="00DF13ED">
        <w:t xml:space="preserve"> when the proper data is present</w:t>
      </w:r>
      <w:r>
        <w:t>. This is a hypothetical, but it is another way that the same data could be presented to both groups for different interpretations.</w:t>
      </w:r>
    </w:p>
    <w:p w:rsidR="00EE7870" w:rsidRPr="00EE7870" w:rsidRDefault="00EE7870" w:rsidP="00EE7870">
      <w:pPr>
        <w:spacing w:line="480" w:lineRule="auto"/>
        <w:rPr>
          <w:b/>
          <w:bCs/>
        </w:rPr>
      </w:pPr>
      <w:r>
        <w:rPr>
          <w:b/>
          <w:bCs/>
        </w:rPr>
        <w:t>Details About the Visualizations</w:t>
      </w:r>
    </w:p>
    <w:p w:rsidR="0067439A" w:rsidRDefault="0067439A" w:rsidP="0067439A">
      <w:pPr>
        <w:spacing w:line="480" w:lineRule="auto"/>
        <w:ind w:firstLine="720"/>
      </w:pPr>
      <w:r>
        <w:lastRenderedPageBreak/>
        <w:t>While it</w:t>
      </w:r>
      <w:r w:rsidR="00EE7870">
        <w:t>’</w:t>
      </w:r>
      <w:r>
        <w:t>s useful</w:t>
      </w:r>
      <w:r w:rsidR="00EE7870">
        <w:t xml:space="preserve"> to</w:t>
      </w:r>
      <w:r>
        <w:t xml:space="preserve"> understand how these visualizations help the specific stakeholders, it doesn’t point out what the effectiveness of them are. These three visualizations were chosen because they match the structure of the data, present the insights in a way that reduces cognitive load, and they support both high-level and detailed interpretation. </w:t>
      </w:r>
    </w:p>
    <w:p w:rsidR="0067439A" w:rsidRDefault="0067439A" w:rsidP="0067439A">
      <w:pPr>
        <w:spacing w:line="480" w:lineRule="auto"/>
        <w:ind w:firstLine="720"/>
      </w:pPr>
      <w:r>
        <w:t>The first visualization</w:t>
      </w:r>
      <w:r w:rsidR="00657DBB">
        <w:t xml:space="preserve"> is a </w:t>
      </w:r>
      <w:r w:rsidR="00A6093A">
        <w:t>categorical</w:t>
      </w:r>
      <w:r w:rsidR="00657DBB">
        <w:t xml:space="preserve"> type and is represented by a</w:t>
      </w:r>
      <w:r>
        <w:t xml:space="preserve"> side-by-side bar chart</w:t>
      </w:r>
      <w:r w:rsidR="00657DBB">
        <w:t>. This chart</w:t>
      </w:r>
      <w:r>
        <w:t xml:space="preserve"> shows clear comparisons, has immediate readability, supports the high-level decisions that executives make, and highlights the differences without being overwhelming. For executives, this is important for taking in data quickly. </w:t>
      </w:r>
      <w:r w:rsidR="00657DBB">
        <w:t>The next visualization is a time-series type represented by a</w:t>
      </w:r>
      <w:r>
        <w:t xml:space="preserve"> line chart</w:t>
      </w:r>
      <w:r w:rsidR="00657DBB">
        <w:t>. This line chart</w:t>
      </w:r>
      <w:r>
        <w:t xml:space="preserve"> is used by marketing/engagement teams,</w:t>
      </w:r>
      <w:r w:rsidR="00EE7870">
        <w:t xml:space="preserve"> to</w:t>
      </w:r>
      <w:r>
        <w:t xml:space="preserve"> show movement over time, highlight spikes/dips, support short-term engagement decisions, and </w:t>
      </w:r>
      <w:r w:rsidR="00EE7870">
        <w:t xml:space="preserve">it </w:t>
      </w:r>
      <w:r>
        <w:t xml:space="preserve">has clean trend lines that reduce noise. This is important for the marketing/engagement teams as short-term decisions have to be made quickly, which this graph allows for. </w:t>
      </w:r>
      <w:r w:rsidR="00657DBB">
        <w:t xml:space="preserve">The final visualization is a comparative volume type that’s represented by a stacked bar chart. </w:t>
      </w:r>
      <w:r>
        <w:t>The stacked bar chart is a shared visualization that shows total volume/relative contribution, supports both long-term and short-term interpretations, and makes overlapping data easy to compare. This is a good chart to have, especially when there are meetings with both groups present.</w:t>
      </w:r>
    </w:p>
    <w:p w:rsidR="009B72C2" w:rsidRDefault="00EE7870" w:rsidP="0067439A">
      <w:pPr>
        <w:spacing w:line="480" w:lineRule="auto"/>
        <w:ind w:firstLine="720"/>
      </w:pPr>
      <w:r>
        <w:t>In the overarching form of these charts, they all share specific components that create consistency. The first is that all three of them use a colorblind palette</w:t>
      </w:r>
      <w:r w:rsidR="0067439A">
        <w:t>. This helps to increase accessibility. People aren’t</w:t>
      </w:r>
      <w:r>
        <w:t xml:space="preserve"> </w:t>
      </w:r>
      <w:r w:rsidR="0067439A">
        <w:t xml:space="preserve">one type of colorblind and using this palette ensures that everyone can read the chart effectively. </w:t>
      </w:r>
      <w:r>
        <w:t>As for the axis choices, they</w:t>
      </w:r>
      <w:r w:rsidR="0067439A">
        <w:t xml:space="preserve"> </w:t>
      </w:r>
      <w:r>
        <w:t xml:space="preserve">provide </w:t>
      </w:r>
      <w:r w:rsidR="0067439A">
        <w:t xml:space="preserve">each graph </w:t>
      </w:r>
      <w:r>
        <w:t xml:space="preserve">with </w:t>
      </w:r>
      <w:r w:rsidR="0067439A">
        <w:t xml:space="preserve">a specific format. People will expect </w:t>
      </w:r>
      <w:r>
        <w:t>the</w:t>
      </w:r>
      <w:r w:rsidR="0067439A">
        <w:t xml:space="preserve"> static values, such as the star rating, on the x-axis and the y-axis </w:t>
      </w:r>
      <w:r w:rsidR="00DF13ED">
        <w:t>to represent the</w:t>
      </w:r>
      <w:r w:rsidR="0067439A">
        <w:t xml:space="preserve"> growth or decline</w:t>
      </w:r>
      <w:r w:rsidR="00DF13ED">
        <w:t xml:space="preserve"> of the data</w:t>
      </w:r>
      <w:r w:rsidR="0067439A">
        <w:t xml:space="preserve">. </w:t>
      </w:r>
      <w:r w:rsidR="00657DBB">
        <w:t>This allows for view</w:t>
      </w:r>
      <w:r w:rsidR="00DF13ED">
        <w:t>er</w:t>
      </w:r>
      <w:r w:rsidR="00657DBB">
        <w:t xml:space="preserve">s to compare related categories without scanning across multiple charts. </w:t>
      </w:r>
      <w:r w:rsidR="0067439A">
        <w:t xml:space="preserve">The labeling is kept simple so a person can read it </w:t>
      </w:r>
      <w:r w:rsidR="0067439A">
        <w:lastRenderedPageBreak/>
        <w:t xml:space="preserve">quickly and not have to take the time to think. Using a more grouped format reduces clutter and noise as a way to reduce the cognitive load a person needs for interpretation. All of these choices work because it helps the stakeholder take the information in quickly and match </w:t>
      </w:r>
      <w:r>
        <w:t xml:space="preserve">it to </w:t>
      </w:r>
      <w:r w:rsidR="0067439A">
        <w:t>their needs. They highlight key insights without overwhelming the view</w:t>
      </w:r>
      <w:r w:rsidR="00083146">
        <w:t>er</w:t>
      </w:r>
      <w:r w:rsidR="0067439A">
        <w:t xml:space="preserve"> and they support different interpretations while maintaining consistency.</w:t>
      </w:r>
      <w:r w:rsidR="00657DBB">
        <w:t xml:space="preserve"> This consistency is present through features such as the same palettes and similar labeling conventions</w:t>
      </w:r>
      <w:r w:rsidR="00083146">
        <w:t>. These features</w:t>
      </w:r>
      <w:r w:rsidR="00657DBB">
        <w:t xml:space="preserve"> help stakeholders move between charts without re-orienting themselves. All of this builds a cohesive narrative for the view</w:t>
      </w:r>
      <w:r w:rsidR="006F3327">
        <w:t>er</w:t>
      </w:r>
      <w:r w:rsidR="00657DBB">
        <w:t>.</w:t>
      </w:r>
    </w:p>
    <w:p w:rsidR="00083146" w:rsidRPr="00083146" w:rsidRDefault="00083146" w:rsidP="00083146">
      <w:pPr>
        <w:spacing w:line="480" w:lineRule="auto"/>
        <w:rPr>
          <w:b/>
          <w:bCs/>
        </w:rPr>
      </w:pPr>
      <w:r>
        <w:rPr>
          <w:b/>
          <w:bCs/>
        </w:rPr>
        <w:t>Conclusion</w:t>
      </w:r>
    </w:p>
    <w:p w:rsidR="006F3327" w:rsidRPr="0067439A" w:rsidRDefault="006F3327" w:rsidP="0067439A">
      <w:pPr>
        <w:spacing w:line="480" w:lineRule="auto"/>
        <w:ind w:firstLine="720"/>
      </w:pPr>
      <w:r>
        <w:t>In conclusion, the visualizations clearly communicate the information that each stakeholder group needs. They each have their own goals and formats that are necessary for quick decision making. The executives need long-term, high-level</w:t>
      </w:r>
      <w:r w:rsidR="00083146">
        <w:t>,</w:t>
      </w:r>
      <w:r>
        <w:t xml:space="preserve"> information while the marketing needs short-term</w:t>
      </w:r>
      <w:r w:rsidR="00083146">
        <w:t>,</w:t>
      </w:r>
      <w:r>
        <w:t xml:space="preserve"> engagement-focused</w:t>
      </w:r>
      <w:r w:rsidR="00083146">
        <w:t>,</w:t>
      </w:r>
      <w:r>
        <w:t xml:space="preserve"> data. They can both use one visualization where data overlaps, but still interpret it differently. This is as important as how the visualizations look to provide clarity, accessibility, and </w:t>
      </w:r>
      <w:r w:rsidR="00A21ADD">
        <w:t>minimize the</w:t>
      </w:r>
      <w:r>
        <w:t xml:space="preserve"> cognitive load </w:t>
      </w:r>
      <w:r w:rsidR="00DF13ED">
        <w:t>a viewer needs for interpretation</w:t>
      </w:r>
      <w:r>
        <w:t xml:space="preserve">. </w:t>
      </w:r>
      <w:r w:rsidR="00083146">
        <w:t>The</w:t>
      </w:r>
      <w:r>
        <w:t xml:space="preserve"> three visualizations that I provided show this in an effective manner that leads to informed decision making.</w:t>
      </w:r>
    </w:p>
    <w:sectPr w:rsidR="006F3327" w:rsidRPr="006743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Body CS)">
    <w:altName w:val="Times New Roman"/>
    <w:panose1 w:val="020B0604020202020204"/>
    <w:charset w:val="00"/>
    <w:family w:val="roman"/>
    <w:pitch w:val="default"/>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ple Chancery">
    <w:altName w:val="APPLE CHANCERY"/>
    <w:panose1 w:val="03020702040506060504"/>
    <w:charset w:val="B1"/>
    <w:family w:val="script"/>
    <w:pitch w:val="variable"/>
    <w:sig w:usb0="80000867" w:usb1="00000003" w:usb2="00000000" w:usb3="00000000" w:csb0="000001F3" w:csb1="00000000"/>
  </w:font>
  <w:font w:name="Libian SC Regular">
    <w:altName w:val="Microsoft YaHei"/>
    <w:panose1 w:val="020B0604020202020204"/>
    <w:charset w:val="86"/>
    <w:family w:val="auto"/>
    <w:pitch w:val="variable"/>
    <w:sig w:usb0="80000287" w:usb1="280F3C52"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harter Roman">
    <w:altName w:val="CHARTER ROMAN"/>
    <w:panose1 w:val="02040503050506020203"/>
    <w:charset w:val="00"/>
    <w:family w:val="roman"/>
    <w:pitch w:val="variable"/>
    <w:sig w:usb0="800000AF" w:usb1="1000204A" w:usb2="00000000" w:usb3="00000000" w:csb0="00000011" w:csb1="00000000"/>
  </w:font>
  <w:font w:name="Zapfino">
    <w:panose1 w:val="03030300040707070C03"/>
    <w:charset w:val="4D"/>
    <w:family w:val="script"/>
    <w:pitch w:val="variable"/>
    <w:sig w:usb0="80000067" w:usb1="4000004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D41"/>
    <w:rsid w:val="00083146"/>
    <w:rsid w:val="000C282A"/>
    <w:rsid w:val="00173D41"/>
    <w:rsid w:val="001F134C"/>
    <w:rsid w:val="00272885"/>
    <w:rsid w:val="003732E8"/>
    <w:rsid w:val="003924FE"/>
    <w:rsid w:val="00570E2F"/>
    <w:rsid w:val="005A4DA9"/>
    <w:rsid w:val="00657DBB"/>
    <w:rsid w:val="0067439A"/>
    <w:rsid w:val="006B20B0"/>
    <w:rsid w:val="006F3327"/>
    <w:rsid w:val="0078547B"/>
    <w:rsid w:val="008138EB"/>
    <w:rsid w:val="00910A96"/>
    <w:rsid w:val="009546C2"/>
    <w:rsid w:val="009902B1"/>
    <w:rsid w:val="009B72C2"/>
    <w:rsid w:val="00A21ADD"/>
    <w:rsid w:val="00A42286"/>
    <w:rsid w:val="00A6093A"/>
    <w:rsid w:val="00C738AE"/>
    <w:rsid w:val="00DF13ED"/>
    <w:rsid w:val="00EE7870"/>
    <w:rsid w:val="00EF242E"/>
    <w:rsid w:val="00F200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E01C939"/>
  <w15:chartTrackingRefBased/>
  <w15:docId w15:val="{19667F80-2E9A-8C48-9738-8D7225037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Body CS)"/>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D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erthaChapters">
    <w:name w:val="Abertha Chapters"/>
    <w:basedOn w:val="Normal"/>
    <w:autoRedefine/>
    <w:qFormat/>
    <w:rsid w:val="00910A96"/>
    <w:pPr>
      <w:spacing w:before="2880" w:after="1680" w:line="360" w:lineRule="auto"/>
      <w:jc w:val="center"/>
    </w:pPr>
    <w:rPr>
      <w:rFonts w:ascii="Book Antiqua" w:hAnsi="Book Antiqua"/>
      <w:b/>
      <w:i/>
      <w:caps/>
      <w:sz w:val="60"/>
    </w:rPr>
  </w:style>
  <w:style w:type="paragraph" w:customStyle="1" w:styleId="AberthaStyle">
    <w:name w:val="Abertha Style"/>
    <w:basedOn w:val="Normal"/>
    <w:autoRedefine/>
    <w:qFormat/>
    <w:rsid w:val="00910A96"/>
    <w:pPr>
      <w:spacing w:after="200" w:line="480" w:lineRule="auto"/>
    </w:pPr>
    <w:rPr>
      <w:rFonts w:ascii="Book Antiqua" w:hAnsi="Book Antiqua" w:cstheme="minorBidi"/>
      <w:sz w:val="22"/>
    </w:rPr>
  </w:style>
  <w:style w:type="paragraph" w:customStyle="1" w:styleId="AberthaSpells">
    <w:name w:val="AberthaSpells"/>
    <w:basedOn w:val="AberthaStyle"/>
    <w:autoRedefine/>
    <w:qFormat/>
    <w:rsid w:val="00910A96"/>
    <w:pPr>
      <w:adjustRightInd w:val="0"/>
      <w:ind w:left="2160" w:right="2160"/>
      <w:mirrorIndents/>
      <w:jc w:val="center"/>
    </w:pPr>
    <w:rPr>
      <w:sz w:val="24"/>
    </w:rPr>
  </w:style>
  <w:style w:type="paragraph" w:customStyle="1" w:styleId="AberthaCenters">
    <w:name w:val="Abertha Centers"/>
    <w:basedOn w:val="AberthaStyle"/>
    <w:autoRedefine/>
    <w:qFormat/>
    <w:rsid w:val="005A4DA9"/>
    <w:pPr>
      <w:jc w:val="center"/>
    </w:pPr>
    <w:rPr>
      <w:rFonts w:ascii="Apple Chancery" w:hAnsi="Apple Chancery" w:cs="Libian SC Regular"/>
      <w:b/>
      <w:i/>
      <w:sz w:val="28"/>
      <w:szCs w:val="22"/>
    </w:rPr>
  </w:style>
  <w:style w:type="paragraph" w:customStyle="1" w:styleId="ChrysanthemumStyle">
    <w:name w:val="ChrysanthemumStyle"/>
    <w:basedOn w:val="Normal"/>
    <w:autoRedefine/>
    <w:qFormat/>
    <w:rsid w:val="00910A96"/>
    <w:pPr>
      <w:spacing w:before="1320" w:after="1320" w:line="360" w:lineRule="auto"/>
      <w:jc w:val="both"/>
    </w:pPr>
    <w:rPr>
      <w:rFonts w:ascii="Century Schoolbook" w:hAnsi="Century Schoolbook"/>
      <w:caps/>
      <w:sz w:val="22"/>
    </w:rPr>
  </w:style>
  <w:style w:type="paragraph" w:customStyle="1" w:styleId="ChrysanthemumChapter">
    <w:name w:val="ChrysanthemumChapter"/>
    <w:basedOn w:val="Normal"/>
    <w:autoRedefine/>
    <w:qFormat/>
    <w:rsid w:val="00910A96"/>
    <w:pPr>
      <w:spacing w:before="1320" w:after="1320" w:line="360" w:lineRule="auto"/>
      <w:jc w:val="center"/>
    </w:pPr>
    <w:rPr>
      <w:rFonts w:ascii="Century Schoolbook" w:hAnsi="Century Schoolbook"/>
      <w:b/>
      <w:i/>
      <w:caps/>
      <w:sz w:val="60"/>
    </w:rPr>
  </w:style>
  <w:style w:type="paragraph" w:customStyle="1" w:styleId="PendragonStyle">
    <w:name w:val="PendragonStyle"/>
    <w:basedOn w:val="Normal"/>
    <w:autoRedefine/>
    <w:qFormat/>
    <w:rsid w:val="00910A96"/>
    <w:pPr>
      <w:spacing w:before="240" w:after="240" w:line="360" w:lineRule="auto"/>
      <w:jc w:val="both"/>
    </w:pPr>
    <w:rPr>
      <w:rFonts w:ascii="Charter Roman" w:hAnsi="Charter Roman"/>
    </w:rPr>
  </w:style>
  <w:style w:type="paragraph" w:customStyle="1" w:styleId="PendragonChapters">
    <w:name w:val="PendragonChapters"/>
    <w:basedOn w:val="Normal"/>
    <w:autoRedefine/>
    <w:qFormat/>
    <w:rsid w:val="00910A96"/>
    <w:pPr>
      <w:spacing w:before="480" w:after="480" w:line="480" w:lineRule="auto"/>
      <w:jc w:val="center"/>
    </w:pPr>
    <w:rPr>
      <w:rFonts w:ascii="Zapfino" w:hAnsi="Zapfino"/>
      <w:b/>
      <w:i/>
      <w:caps/>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7</Pages>
  <Words>1735</Words>
  <Characters>9894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Durr</dc:creator>
  <cp:keywords/>
  <dc:description/>
  <cp:lastModifiedBy>Samantha Durr</cp:lastModifiedBy>
  <cp:revision>12</cp:revision>
  <dcterms:created xsi:type="dcterms:W3CDTF">2026-03-28T17:57:00Z</dcterms:created>
  <dcterms:modified xsi:type="dcterms:W3CDTF">2026-04-02T19:18:00Z</dcterms:modified>
</cp:coreProperties>
</file>