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70E1" w:rsidRDefault="004870E1" w:rsidP="004870E1">
      <w:pPr>
        <w:spacing w:line="480" w:lineRule="auto"/>
        <w:jc w:val="center"/>
      </w:pPr>
      <w:r>
        <w:rPr>
          <w:b/>
          <w:bCs/>
        </w:rPr>
        <w:t>Module 4: Comparing Visualizations</w:t>
      </w:r>
    </w:p>
    <w:p w:rsidR="004870E1" w:rsidRDefault="004870E1" w:rsidP="004870E1">
      <w:pPr>
        <w:spacing w:line="480" w:lineRule="auto"/>
        <w:jc w:val="center"/>
      </w:pPr>
    </w:p>
    <w:p w:rsidR="004870E1" w:rsidRDefault="004870E1" w:rsidP="004870E1">
      <w:pPr>
        <w:spacing w:line="480" w:lineRule="auto"/>
        <w:jc w:val="center"/>
      </w:pPr>
      <w:r>
        <w:t>Samantha Durr</w:t>
      </w:r>
    </w:p>
    <w:p w:rsidR="004870E1" w:rsidRDefault="004870E1" w:rsidP="004870E1">
      <w:pPr>
        <w:jc w:val="center"/>
      </w:pPr>
    </w:p>
    <w:p w:rsidR="004870E1" w:rsidRDefault="004870E1" w:rsidP="004870E1">
      <w:pPr>
        <w:jc w:val="center"/>
      </w:pPr>
      <w:r>
        <w:t>Computer Science, Southern New Hampshire University</w:t>
      </w:r>
    </w:p>
    <w:p w:rsidR="004870E1" w:rsidRDefault="004870E1" w:rsidP="004870E1">
      <w:pPr>
        <w:jc w:val="center"/>
      </w:pPr>
    </w:p>
    <w:p w:rsidR="004870E1" w:rsidRDefault="004870E1" w:rsidP="004870E1">
      <w:pPr>
        <w:jc w:val="center"/>
      </w:pPr>
      <w:r>
        <w:t>CS 540: Data Literacy and Visualization</w:t>
      </w:r>
    </w:p>
    <w:p w:rsidR="004870E1" w:rsidRDefault="004870E1" w:rsidP="004870E1">
      <w:pPr>
        <w:jc w:val="center"/>
      </w:pPr>
    </w:p>
    <w:p w:rsidR="004870E1" w:rsidRDefault="004870E1" w:rsidP="004870E1">
      <w:pPr>
        <w:jc w:val="center"/>
      </w:pPr>
      <w:r>
        <w:t>February 23, 2026</w:t>
      </w:r>
    </w:p>
    <w:p w:rsidR="00B37995" w:rsidRDefault="004870E1" w:rsidP="00B37995">
      <w:pPr>
        <w:spacing w:line="480" w:lineRule="auto"/>
      </w:pPr>
      <w:r>
        <w:br w:type="page"/>
      </w:r>
      <w:r>
        <w:lastRenderedPageBreak/>
        <w:tab/>
      </w:r>
      <w:r w:rsidR="00B37995">
        <w:t xml:space="preserve">Data is what makes the world run. We use it to determine what to do, what is common, and even how to make everything work. </w:t>
      </w:r>
      <w:r w:rsidR="004A6535">
        <w:t>This can confuse general audiences when the data is presented different, even when it’s the same. This is where understanding what the same data looks like when using different visualizations really means.</w:t>
      </w:r>
    </w:p>
    <w:p w:rsidR="00921368" w:rsidRPr="00921368" w:rsidRDefault="00921368" w:rsidP="00B37995">
      <w:pPr>
        <w:spacing w:line="480" w:lineRule="auto"/>
        <w:rPr>
          <w:b/>
          <w:bCs/>
        </w:rPr>
      </w:pPr>
      <w:r>
        <w:rPr>
          <w:b/>
          <w:bCs/>
        </w:rPr>
        <w:t>Graphs: Data Representation and Key Characteristics</w:t>
      </w:r>
    </w:p>
    <w:p w:rsidR="00512392" w:rsidRPr="00921368" w:rsidRDefault="00512392" w:rsidP="00B37995">
      <w:pPr>
        <w:spacing w:line="480" w:lineRule="auto"/>
        <w:rPr>
          <w:i/>
          <w:iCs/>
        </w:rPr>
      </w:pPr>
      <w:r w:rsidRPr="00921368">
        <w:rPr>
          <w:i/>
          <w:iCs/>
        </w:rPr>
        <w:t xml:space="preserve">Graph 1: </w:t>
      </w:r>
      <w:r w:rsidR="00526C66">
        <w:rPr>
          <w:i/>
          <w:iCs/>
        </w:rPr>
        <w:t xml:space="preserve">Technical, </w:t>
      </w:r>
      <w:r w:rsidRPr="00921368">
        <w:rPr>
          <w:i/>
          <w:iCs/>
        </w:rPr>
        <w:t>Time Series Analysis</w:t>
      </w:r>
    </w:p>
    <w:p w:rsidR="00512392" w:rsidRDefault="00B37995" w:rsidP="00512392">
      <w:pPr>
        <w:spacing w:line="480" w:lineRule="auto"/>
      </w:pPr>
      <w:r>
        <w:tab/>
        <w:t>The first is a technical visualization using a Time Series Analysis</w:t>
      </w:r>
      <w:r w:rsidR="00921368">
        <w:t xml:space="preserve"> that is titled </w:t>
      </w:r>
      <w:r w:rsidR="004A6535">
        <w:t>“</w:t>
      </w:r>
      <w:r w:rsidR="00921368">
        <w:t xml:space="preserve">30-Year Trend of State Appropriations for Higher Education </w:t>
      </w:r>
      <w:r w:rsidR="004A6535">
        <w:t>by</w:t>
      </w:r>
      <w:r w:rsidR="00921368">
        <w:t xml:space="preserve"> Selected States</w:t>
      </w:r>
      <w:r w:rsidR="004A6535">
        <w:t>”</w:t>
      </w:r>
      <w:r>
        <w:t xml:space="preserve">. This </w:t>
      </w:r>
      <w:r w:rsidR="00512392">
        <w:t>graph is a line graph. It works through an X and Y axis, which has X being the years and the Y being the appropriation amounts.</w:t>
      </w:r>
      <w:r w:rsidR="00610CEC">
        <w:t xml:space="preserve"> These axes are labeled as: </w:t>
      </w:r>
      <w:r w:rsidR="00921368" w:rsidRPr="004A6535">
        <w:rPr>
          <w:i/>
          <w:iCs/>
        </w:rPr>
        <w:t>Appropriations</w:t>
      </w:r>
      <w:r w:rsidR="00610CEC" w:rsidRPr="004A6535">
        <w:rPr>
          <w:i/>
          <w:iCs/>
        </w:rPr>
        <w:t xml:space="preserve"> per FTE Student ($)</w:t>
      </w:r>
      <w:r w:rsidR="00610CEC">
        <w:t xml:space="preserve"> for the </w:t>
      </w:r>
      <w:r w:rsidR="00921368">
        <w:t>Y</w:t>
      </w:r>
      <w:r w:rsidR="00610CEC">
        <w:t xml:space="preserve"> and </w:t>
      </w:r>
      <w:r w:rsidR="00610CEC" w:rsidRPr="004A6535">
        <w:rPr>
          <w:i/>
          <w:iCs/>
        </w:rPr>
        <w:t>Academic Year</w:t>
      </w:r>
      <w:r w:rsidR="00610CEC">
        <w:t xml:space="preserve"> for the </w:t>
      </w:r>
      <w:r w:rsidR="00921368">
        <w:t>X</w:t>
      </w:r>
      <w:r w:rsidR="00610CEC">
        <w:t>.</w:t>
      </w:r>
      <w:r w:rsidR="00512392">
        <w:t xml:space="preserve"> </w:t>
      </w:r>
      <w:r w:rsidR="00610CEC">
        <w:t>This graph</w:t>
      </w:r>
      <w:r w:rsidR="00512392">
        <w:t xml:space="preserve"> looks at a collection of five states: California, New York, Texas, Florida, and Illinois</w:t>
      </w:r>
      <w:r w:rsidR="00610CEC">
        <w:t xml:space="preserve"> to show how much funding was applied to higher education</w:t>
      </w:r>
      <w:r w:rsidR="00512392">
        <w:t xml:space="preserve">. </w:t>
      </w:r>
      <w:r w:rsidR="00921368">
        <w:t>T</w:t>
      </w:r>
      <w:r w:rsidR="00512392">
        <w:t xml:space="preserve">his </w:t>
      </w:r>
      <w:r w:rsidR="004A6535">
        <w:t>is</w:t>
      </w:r>
      <w:r w:rsidR="00512392">
        <w:t xml:space="preserve"> over a thirty-year period</w:t>
      </w:r>
      <w:r w:rsidR="004A6535">
        <w:t xml:space="preserve"> and </w:t>
      </w:r>
      <w:r w:rsidR="00512392">
        <w:t xml:space="preserve">the graph </w:t>
      </w:r>
      <w:r w:rsidR="00921368">
        <w:t>has specific data points at</w:t>
      </w:r>
      <w:r w:rsidR="00512392">
        <w:t>: 1990-91, 2000-01, 2010-11, 2015-16, 2019-20, 2020-21. These points are the data on the graph that creates the line connections to show the trend of being upward, steady, or downward. The lin</w:t>
      </w:r>
      <w:r w:rsidR="00610CEC">
        <w:t>e</w:t>
      </w:r>
      <w:r w:rsidR="00512392">
        <w:t>s themselves are multi-colored to represent a specific state with a legend informing you which color belongs to which</w:t>
      </w:r>
      <w:r w:rsidR="004A6535">
        <w:t xml:space="preserve"> state</w:t>
      </w:r>
      <w:r w:rsidR="00512392">
        <w:t>. The lines do cross when data changes dramatically enough, but otherwise there is space.</w:t>
      </w:r>
    </w:p>
    <w:p w:rsidR="00921368" w:rsidRPr="00921368" w:rsidRDefault="00921368" w:rsidP="00512392">
      <w:pPr>
        <w:spacing w:line="480" w:lineRule="auto"/>
        <w:rPr>
          <w:i/>
          <w:iCs/>
        </w:rPr>
      </w:pPr>
      <w:r w:rsidRPr="00921368">
        <w:rPr>
          <w:i/>
          <w:iCs/>
        </w:rPr>
        <w:t>Graph 2: Simple Bar Chart</w:t>
      </w:r>
      <w:r w:rsidR="00526C66">
        <w:rPr>
          <w:i/>
          <w:iCs/>
        </w:rPr>
        <w:t>, Current Year</w:t>
      </w:r>
    </w:p>
    <w:p w:rsidR="00921368" w:rsidRPr="00921368" w:rsidRDefault="00921368" w:rsidP="00512392">
      <w:pPr>
        <w:spacing w:line="480" w:lineRule="auto"/>
      </w:pPr>
      <w:r>
        <w:tab/>
        <w:t xml:space="preserve">For the second graph, it is a horizontal bar graph with the title of </w:t>
      </w:r>
      <w:r w:rsidR="004A6535">
        <w:t>“</w:t>
      </w:r>
      <w:r>
        <w:t>State Higher Education Funding 2020-21</w:t>
      </w:r>
      <w:r w:rsidR="004A6535">
        <w:t>”</w:t>
      </w:r>
      <w:r>
        <w:t xml:space="preserve">. The first part of this graph is the representation of a single year that works on an X and Y axis. Unlike the time analysis, the X axis has a label of </w:t>
      </w:r>
      <w:r w:rsidRPr="004A6535">
        <w:rPr>
          <w:i/>
          <w:iCs/>
        </w:rPr>
        <w:t>States</w:t>
      </w:r>
      <w:r>
        <w:t xml:space="preserve"> and focuses on California, New York, Texas, Florida, Illinois, Pennsylvania, Ohio, Michigan, Georgia, and </w:t>
      </w:r>
      <w:r>
        <w:lastRenderedPageBreak/>
        <w:t xml:space="preserve">North Carolina. Each of these is represented by a single bar that stretches vertically along the Y axis. The Y axis is labelled </w:t>
      </w:r>
      <w:r w:rsidRPr="004A6535">
        <w:rPr>
          <w:i/>
          <w:iCs/>
        </w:rPr>
        <w:t>Appropriations per FTE Student ($)</w:t>
      </w:r>
      <w:r>
        <w:t xml:space="preserve"> and includes markers at 2000, 4000, 6000, 8,000, and 10000. To ensure a common point as well, there is a red dotted line between 8000 and 10000, which is marked with a legend </w:t>
      </w:r>
      <w:r w:rsidR="004A6535">
        <w:t>as</w:t>
      </w:r>
      <w:r>
        <w:t xml:space="preserve"> </w:t>
      </w:r>
      <w:r w:rsidRPr="004A6535">
        <w:rPr>
          <w:i/>
          <w:iCs/>
        </w:rPr>
        <w:t>National Average ($8750)</w:t>
      </w:r>
      <w:r>
        <w:t>. The graph shows this information as what each state has spent on higher education in one academic year</w:t>
      </w:r>
      <w:r w:rsidR="004A6535">
        <w:t>. The national average line is there to indicate</w:t>
      </w:r>
      <w:r>
        <w:t xml:space="preserve"> whether they’re at, above, or below the national average. This is where each bar either touches, passes, or is under the line.</w:t>
      </w:r>
    </w:p>
    <w:p w:rsidR="00526C66" w:rsidRDefault="00921368" w:rsidP="00526C66">
      <w:pPr>
        <w:spacing w:line="480" w:lineRule="auto"/>
      </w:pPr>
      <w:r>
        <w:rPr>
          <w:i/>
          <w:iCs/>
        </w:rPr>
        <w:t>Graph 3</w:t>
      </w:r>
      <w:r w:rsidR="00526C66">
        <w:rPr>
          <w:i/>
          <w:iCs/>
        </w:rPr>
        <w:t>/4</w:t>
      </w:r>
      <w:r>
        <w:rPr>
          <w:i/>
          <w:iCs/>
        </w:rPr>
        <w:t xml:space="preserve">: </w:t>
      </w:r>
      <w:r w:rsidR="00526C66">
        <w:rPr>
          <w:i/>
          <w:iCs/>
        </w:rPr>
        <w:t>Story-Telling Visualization, Change Over Time</w:t>
      </w:r>
    </w:p>
    <w:p w:rsidR="00526C66" w:rsidRDefault="00526C66" w:rsidP="00526C66">
      <w:pPr>
        <w:spacing w:line="480" w:lineRule="auto"/>
      </w:pPr>
      <w:r>
        <w:tab/>
        <w:t xml:space="preserve">For this storytelling method, there are two different graphs to look at. These graphs are a horizontal bar graph and a Box Plot graph. For the Horizontal Bar graph, the graph is labelled as </w:t>
      </w:r>
      <w:r w:rsidR="004A6535">
        <w:t>“</w:t>
      </w:r>
      <w:r w:rsidRPr="004A6535">
        <w:t>Percent Change in State Appropriations (1990-91 to 2020-21)</w:t>
      </w:r>
      <w:r w:rsidR="004A6535">
        <w:t>”</w:t>
      </w:r>
      <w:r>
        <w:t xml:space="preserve">. The bars themselves are attached to the Y axis with no overt title, but the labels under each bar that are: Georgia, Florida, North Carolina, Texas, California, New York, Pennsylvania, Illinois, Ohio, and Michigan. The X axis is labelled as </w:t>
      </w:r>
      <w:r w:rsidRPr="004A6535">
        <w:rPr>
          <w:i/>
          <w:iCs/>
        </w:rPr>
        <w:t>Percent change</w:t>
      </w:r>
      <w:r>
        <w:t xml:space="preserve"> with data markers at 0, 5, 10, 15, and 20. These are the percentage</w:t>
      </w:r>
      <w:r w:rsidR="004A6535">
        <w:t>s</w:t>
      </w:r>
      <w:r>
        <w:t xml:space="preserve"> in which money was </w:t>
      </w:r>
      <w:r w:rsidR="004A6535">
        <w:t>spent</w:t>
      </w:r>
      <w:r>
        <w:t xml:space="preserve">. The 20 is the last data point on the X axis, but the bars can still stretch past, just as there is no state that stops at </w:t>
      </w:r>
      <w:r w:rsidR="004A6535">
        <w:t>zero</w:t>
      </w:r>
      <w:r>
        <w:t>.</w:t>
      </w:r>
    </w:p>
    <w:p w:rsidR="00526C66" w:rsidRDefault="00526C66" w:rsidP="00526C66">
      <w:pPr>
        <w:spacing w:line="480" w:lineRule="auto"/>
      </w:pPr>
      <w:r>
        <w:tab/>
        <w:t xml:space="preserve">For the second graph in this storytelling method, the box plot, it is called </w:t>
      </w:r>
      <w:r w:rsidR="005A0E5B">
        <w:t>“</w:t>
      </w:r>
      <w:r>
        <w:t>Distribution of State Appropriations Over Time</w:t>
      </w:r>
      <w:r w:rsidR="005A0E5B">
        <w:t>”</w:t>
      </w:r>
      <w:r>
        <w:t xml:space="preserve">. The X axis has no overt label either, but has a series of years that each contain one box plot line, which looks like an I with a box in the middle that’s then split with an orange line at one point in the box. The years that are along this axis are 1990-91, 2000-01, 2010-11, 2015-16, 2019-20, 2020-21. Along the Y axis is the label of </w:t>
      </w:r>
      <w:r w:rsidRPr="00477F64">
        <w:rPr>
          <w:i/>
          <w:iCs/>
        </w:rPr>
        <w:t>Appropriations per FTE Student ($)</w:t>
      </w:r>
      <w:r>
        <w:t xml:space="preserve"> and has data points </w:t>
      </w:r>
      <w:r w:rsidR="00477F64">
        <w:t>at</w:t>
      </w:r>
      <w:r>
        <w:t xml:space="preserve"> 6500, 7000, 7500, 8000, 8500, 9000, 9500, and 10000.</w:t>
      </w:r>
    </w:p>
    <w:p w:rsidR="000F3B55" w:rsidRDefault="000F3B55" w:rsidP="00526C66">
      <w:pPr>
        <w:spacing w:line="480" w:lineRule="auto"/>
      </w:pPr>
      <w:r>
        <w:rPr>
          <w:b/>
          <w:bCs/>
        </w:rPr>
        <w:lastRenderedPageBreak/>
        <w:t>Comparing the Visualization</w:t>
      </w:r>
    </w:p>
    <w:p w:rsidR="000F3B55" w:rsidRDefault="000F3B55" w:rsidP="00526C66">
      <w:pPr>
        <w:spacing w:line="480" w:lineRule="auto"/>
      </w:pPr>
      <w:r>
        <w:tab/>
      </w:r>
      <w:r w:rsidR="00334B50">
        <w:t>For comparison, I find that it is best to work in a table to show each graph. Below is a table with one column representing a graph:</w:t>
      </w:r>
    </w:p>
    <w:tbl>
      <w:tblPr>
        <w:tblStyle w:val="TableGrid"/>
        <w:tblW w:w="0" w:type="auto"/>
        <w:tblLook w:val="04A0" w:firstRow="1" w:lastRow="0" w:firstColumn="1" w:lastColumn="0" w:noHBand="0" w:noVBand="1"/>
      </w:tblPr>
      <w:tblGrid>
        <w:gridCol w:w="2337"/>
        <w:gridCol w:w="2337"/>
        <w:gridCol w:w="2338"/>
        <w:gridCol w:w="2338"/>
      </w:tblGrid>
      <w:tr w:rsidR="00334B50" w:rsidTr="00334B50">
        <w:tc>
          <w:tcPr>
            <w:tcW w:w="2337" w:type="dxa"/>
          </w:tcPr>
          <w:p w:rsidR="00334B50" w:rsidRPr="002904CA" w:rsidRDefault="00334B50" w:rsidP="002904CA">
            <w:pPr>
              <w:spacing w:line="480" w:lineRule="auto"/>
              <w:jc w:val="center"/>
              <w:rPr>
                <w:b/>
                <w:bCs/>
              </w:rPr>
            </w:pPr>
            <w:r w:rsidRPr="002904CA">
              <w:rPr>
                <w:b/>
                <w:bCs/>
              </w:rPr>
              <w:t>30-year Trend Line</w:t>
            </w:r>
          </w:p>
        </w:tc>
        <w:tc>
          <w:tcPr>
            <w:tcW w:w="2337" w:type="dxa"/>
          </w:tcPr>
          <w:p w:rsidR="00334B50" w:rsidRPr="002904CA" w:rsidRDefault="00334B50" w:rsidP="002904CA">
            <w:pPr>
              <w:spacing w:line="480" w:lineRule="auto"/>
              <w:jc w:val="center"/>
              <w:rPr>
                <w:b/>
                <w:bCs/>
              </w:rPr>
            </w:pPr>
            <w:r w:rsidRPr="002904CA">
              <w:rPr>
                <w:b/>
                <w:bCs/>
              </w:rPr>
              <w:t>Single-Year Bar</w:t>
            </w:r>
          </w:p>
        </w:tc>
        <w:tc>
          <w:tcPr>
            <w:tcW w:w="2338" w:type="dxa"/>
          </w:tcPr>
          <w:p w:rsidR="00334B50" w:rsidRPr="002904CA" w:rsidRDefault="00334B50" w:rsidP="002904CA">
            <w:pPr>
              <w:spacing w:line="480" w:lineRule="auto"/>
              <w:jc w:val="center"/>
              <w:rPr>
                <w:b/>
                <w:bCs/>
              </w:rPr>
            </w:pPr>
            <w:r w:rsidRPr="002904CA">
              <w:rPr>
                <w:b/>
                <w:bCs/>
              </w:rPr>
              <w:t>Percentage-Change Bar, Storytelling</w:t>
            </w:r>
          </w:p>
        </w:tc>
        <w:tc>
          <w:tcPr>
            <w:tcW w:w="2338" w:type="dxa"/>
          </w:tcPr>
          <w:p w:rsidR="00334B50" w:rsidRPr="002904CA" w:rsidRDefault="00334B50" w:rsidP="002904CA">
            <w:pPr>
              <w:spacing w:line="480" w:lineRule="auto"/>
              <w:jc w:val="center"/>
              <w:rPr>
                <w:b/>
                <w:bCs/>
              </w:rPr>
            </w:pPr>
            <w:r w:rsidRPr="002904CA">
              <w:rPr>
                <w:b/>
                <w:bCs/>
              </w:rPr>
              <w:t>Box Plot, Storytelling</w:t>
            </w:r>
          </w:p>
        </w:tc>
      </w:tr>
      <w:tr w:rsidR="00334B50" w:rsidTr="00334B50">
        <w:tc>
          <w:tcPr>
            <w:tcW w:w="2337" w:type="dxa"/>
          </w:tcPr>
          <w:p w:rsidR="00334B50" w:rsidRDefault="00334B50" w:rsidP="00526C66">
            <w:pPr>
              <w:spacing w:line="480" w:lineRule="auto"/>
            </w:pPr>
            <w:r>
              <w:t>Shows direction over time: clear and indicates upward, downward, and stable.</w:t>
            </w:r>
          </w:p>
        </w:tc>
        <w:tc>
          <w:tcPr>
            <w:tcW w:w="2337" w:type="dxa"/>
          </w:tcPr>
          <w:p w:rsidR="00334B50" w:rsidRDefault="00334B50" w:rsidP="00526C66">
            <w:pPr>
              <w:spacing w:line="480" w:lineRule="auto"/>
            </w:pPr>
            <w:r>
              <w:t>Answers one question: clear, answers the question how states compare in 2020-21.</w:t>
            </w:r>
          </w:p>
        </w:tc>
        <w:tc>
          <w:tcPr>
            <w:tcW w:w="2338" w:type="dxa"/>
          </w:tcPr>
          <w:p w:rsidR="00334B50" w:rsidRDefault="00334B50" w:rsidP="00526C66">
            <w:pPr>
              <w:spacing w:line="480" w:lineRule="auto"/>
            </w:pPr>
            <w:r>
              <w:t>Clear for showing relative growth across states.</w:t>
            </w:r>
          </w:p>
        </w:tc>
        <w:tc>
          <w:tcPr>
            <w:tcW w:w="2338" w:type="dxa"/>
          </w:tcPr>
          <w:p w:rsidR="00334B50" w:rsidRDefault="00334B50" w:rsidP="00526C66">
            <w:pPr>
              <w:spacing w:line="480" w:lineRule="auto"/>
            </w:pPr>
            <w:r>
              <w:t xml:space="preserve">More </w:t>
            </w:r>
            <w:r w:rsidR="002904CA">
              <w:t>complex</w:t>
            </w:r>
            <w:r>
              <w:t xml:space="preserve"> and only clear to those familiar with statistical displays. Less intuitive.</w:t>
            </w:r>
          </w:p>
        </w:tc>
      </w:tr>
      <w:tr w:rsidR="00334B50" w:rsidTr="00334B50">
        <w:tc>
          <w:tcPr>
            <w:tcW w:w="2337" w:type="dxa"/>
          </w:tcPr>
          <w:p w:rsidR="00334B50" w:rsidRDefault="00334B50" w:rsidP="00526C66">
            <w:pPr>
              <w:spacing w:line="480" w:lineRule="auto"/>
            </w:pPr>
            <w:r>
              <w:t>Compares state trajectory: Good for comparing, can show overlapping lines and color similarity can make it harder to distinguish when states cross.</w:t>
            </w:r>
          </w:p>
        </w:tc>
        <w:tc>
          <w:tcPr>
            <w:tcW w:w="2337" w:type="dxa"/>
          </w:tcPr>
          <w:p w:rsidR="00334B50" w:rsidRDefault="00334B50" w:rsidP="00526C66">
            <w:pPr>
              <w:spacing w:line="480" w:lineRule="auto"/>
            </w:pPr>
            <w:r>
              <w:t>The national average line adds immediate context.</w:t>
            </w:r>
          </w:p>
        </w:tc>
        <w:tc>
          <w:tcPr>
            <w:tcW w:w="2338" w:type="dxa"/>
          </w:tcPr>
          <w:p w:rsidR="00334B50" w:rsidRDefault="00334B50" w:rsidP="00526C66">
            <w:pPr>
              <w:spacing w:line="480" w:lineRule="auto"/>
            </w:pPr>
            <w:r>
              <w:t>Only tells one part of the narrative. Needs the other graph to make it make sense. A part of storytelling. This answers how much did states change</w:t>
            </w:r>
          </w:p>
        </w:tc>
        <w:tc>
          <w:tcPr>
            <w:tcW w:w="2338" w:type="dxa"/>
          </w:tcPr>
          <w:p w:rsidR="00334B50" w:rsidRDefault="00334B50" w:rsidP="00526C66">
            <w:pPr>
              <w:spacing w:line="480" w:lineRule="auto"/>
            </w:pPr>
            <w:r>
              <w:t>Only tells one part of the narrative. Needs the other graph to make it make sense. A part of storytelling.</w:t>
            </w:r>
            <w:r>
              <w:t xml:space="preserve"> This answers how did the distribution shift over time.</w:t>
            </w:r>
          </w:p>
        </w:tc>
      </w:tr>
      <w:tr w:rsidR="00334B50" w:rsidTr="00334B50">
        <w:tc>
          <w:tcPr>
            <w:tcW w:w="2337" w:type="dxa"/>
          </w:tcPr>
          <w:p w:rsidR="00334B50" w:rsidRDefault="00334B50" w:rsidP="00526C66">
            <w:pPr>
              <w:spacing w:line="480" w:lineRule="auto"/>
            </w:pPr>
            <w:r>
              <w:t>Requires more cognitive effort as it spans 30 years and has 5 states.</w:t>
            </w:r>
          </w:p>
        </w:tc>
        <w:tc>
          <w:tcPr>
            <w:tcW w:w="2337" w:type="dxa"/>
          </w:tcPr>
          <w:p w:rsidR="00334B50" w:rsidRDefault="00334B50" w:rsidP="00526C66">
            <w:pPr>
              <w:spacing w:line="480" w:lineRule="auto"/>
            </w:pPr>
            <w:r>
              <w:t>No time component: Does not show trends or change. It’s a snapshot.</w:t>
            </w:r>
          </w:p>
        </w:tc>
        <w:tc>
          <w:tcPr>
            <w:tcW w:w="2338" w:type="dxa"/>
          </w:tcPr>
          <w:p w:rsidR="00334B50" w:rsidRDefault="003F6B36" w:rsidP="00526C66">
            <w:pPr>
              <w:spacing w:line="480" w:lineRule="auto"/>
            </w:pPr>
            <w:r>
              <w:t>Requires more interpretation, but has deeper insight.</w:t>
            </w:r>
          </w:p>
        </w:tc>
        <w:tc>
          <w:tcPr>
            <w:tcW w:w="2338" w:type="dxa"/>
          </w:tcPr>
          <w:p w:rsidR="00334B50" w:rsidRDefault="003F6B36" w:rsidP="00526C66">
            <w:pPr>
              <w:spacing w:line="480" w:lineRule="auto"/>
            </w:pPr>
            <w:r>
              <w:t>Requires more interpretation, but has deeper insight.</w:t>
            </w:r>
          </w:p>
        </w:tc>
      </w:tr>
    </w:tbl>
    <w:p w:rsidR="003F6B36" w:rsidRDefault="003F6B36" w:rsidP="00526C66">
      <w:pPr>
        <w:spacing w:line="480" w:lineRule="auto"/>
      </w:pPr>
    </w:p>
    <w:p w:rsidR="003F6B36" w:rsidRDefault="003F6B36" w:rsidP="00526C66">
      <w:pPr>
        <w:spacing w:line="480" w:lineRule="auto"/>
      </w:pPr>
      <w:r>
        <w:lastRenderedPageBreak/>
        <w:tab/>
        <w:t xml:space="preserve">If one were to ask which of these is the clearest, then the simple bar graph would be </w:t>
      </w:r>
      <w:r w:rsidR="002904CA">
        <w:t xml:space="preserve">the answer. </w:t>
      </w:r>
      <w:proofErr w:type="gramStart"/>
      <w:r w:rsidR="002904CA">
        <w:t>This</w:t>
      </w:r>
      <w:proofErr w:type="gramEnd"/>
      <w:r w:rsidR="002904CA">
        <w:t xml:space="preserve"> is </w:t>
      </w:r>
      <w:r>
        <w:t xml:space="preserve">because it’s simple at a glance. Graph one is clear, but visually busy, while graphs 3 and 4 require you to be more informed and to look at both to get a clear picture. However, it’s how each component aligns the data that shows promise. The below table </w:t>
      </w:r>
      <w:r w:rsidR="002904CA">
        <w:t>explains this.</w:t>
      </w:r>
    </w:p>
    <w:tbl>
      <w:tblPr>
        <w:tblStyle w:val="TableGrid"/>
        <w:tblW w:w="0" w:type="auto"/>
        <w:tblLook w:val="04A0" w:firstRow="1" w:lastRow="0" w:firstColumn="1" w:lastColumn="0" w:noHBand="0" w:noVBand="1"/>
      </w:tblPr>
      <w:tblGrid>
        <w:gridCol w:w="1975"/>
        <w:gridCol w:w="2340"/>
        <w:gridCol w:w="2430"/>
        <w:gridCol w:w="2605"/>
      </w:tblGrid>
      <w:tr w:rsidR="002A2F01" w:rsidTr="002904CA">
        <w:tc>
          <w:tcPr>
            <w:tcW w:w="1975" w:type="dxa"/>
          </w:tcPr>
          <w:p w:rsidR="002A2F01" w:rsidRPr="00CE11EE" w:rsidRDefault="002A2F01" w:rsidP="00CE11EE">
            <w:pPr>
              <w:spacing w:line="480" w:lineRule="auto"/>
              <w:jc w:val="center"/>
              <w:rPr>
                <w:b/>
                <w:bCs/>
              </w:rPr>
            </w:pPr>
            <w:r w:rsidRPr="00CE11EE">
              <w:rPr>
                <w:b/>
                <w:bCs/>
              </w:rPr>
              <w:t>Line Graph</w:t>
            </w:r>
          </w:p>
        </w:tc>
        <w:tc>
          <w:tcPr>
            <w:tcW w:w="2340" w:type="dxa"/>
          </w:tcPr>
          <w:p w:rsidR="002A2F01" w:rsidRPr="00CE11EE" w:rsidRDefault="002A2F01" w:rsidP="00CE11EE">
            <w:pPr>
              <w:spacing w:line="480" w:lineRule="auto"/>
              <w:jc w:val="center"/>
              <w:rPr>
                <w:b/>
                <w:bCs/>
              </w:rPr>
            </w:pPr>
            <w:r w:rsidRPr="00CE11EE">
              <w:rPr>
                <w:b/>
                <w:bCs/>
              </w:rPr>
              <w:t>Bar Chart</w:t>
            </w:r>
          </w:p>
        </w:tc>
        <w:tc>
          <w:tcPr>
            <w:tcW w:w="2430" w:type="dxa"/>
          </w:tcPr>
          <w:p w:rsidR="002A2F01" w:rsidRPr="00CE11EE" w:rsidRDefault="002A2F01" w:rsidP="00CE11EE">
            <w:pPr>
              <w:spacing w:line="480" w:lineRule="auto"/>
              <w:jc w:val="center"/>
              <w:rPr>
                <w:b/>
                <w:bCs/>
              </w:rPr>
            </w:pPr>
            <w:r w:rsidRPr="00CE11EE">
              <w:rPr>
                <w:b/>
                <w:bCs/>
              </w:rPr>
              <w:t>Percent-Change</w:t>
            </w:r>
          </w:p>
        </w:tc>
        <w:tc>
          <w:tcPr>
            <w:tcW w:w="2605" w:type="dxa"/>
          </w:tcPr>
          <w:p w:rsidR="002A2F01" w:rsidRPr="00CE11EE" w:rsidRDefault="002A2F01" w:rsidP="00CE11EE">
            <w:pPr>
              <w:spacing w:line="480" w:lineRule="auto"/>
              <w:jc w:val="center"/>
              <w:rPr>
                <w:b/>
                <w:bCs/>
              </w:rPr>
            </w:pPr>
            <w:r w:rsidRPr="00CE11EE">
              <w:rPr>
                <w:b/>
                <w:bCs/>
              </w:rPr>
              <w:t>Box Plot</w:t>
            </w:r>
          </w:p>
        </w:tc>
      </w:tr>
      <w:tr w:rsidR="002A2F01" w:rsidTr="002904CA">
        <w:tc>
          <w:tcPr>
            <w:tcW w:w="1975" w:type="dxa"/>
          </w:tcPr>
          <w:p w:rsidR="002A2F01" w:rsidRDefault="002A2F01" w:rsidP="00526C66">
            <w:pPr>
              <w:spacing w:line="480" w:lineRule="auto"/>
            </w:pPr>
            <w:r>
              <w:t>Perfect for time-series data.</w:t>
            </w:r>
          </w:p>
        </w:tc>
        <w:tc>
          <w:tcPr>
            <w:tcW w:w="2340" w:type="dxa"/>
          </w:tcPr>
          <w:p w:rsidR="002A2F01" w:rsidRDefault="002A2F01" w:rsidP="00526C66">
            <w:pPr>
              <w:spacing w:line="480" w:lineRule="auto"/>
            </w:pPr>
            <w:r>
              <w:t>Ideal for categorial comparisons across a single year.</w:t>
            </w:r>
          </w:p>
        </w:tc>
        <w:tc>
          <w:tcPr>
            <w:tcW w:w="2430" w:type="dxa"/>
          </w:tcPr>
          <w:p w:rsidR="002A2F01" w:rsidRDefault="002A2F01" w:rsidP="00526C66">
            <w:pPr>
              <w:spacing w:line="480" w:lineRule="auto"/>
            </w:pPr>
            <w:r>
              <w:t>Aligns with relative comparison data.</w:t>
            </w:r>
          </w:p>
        </w:tc>
        <w:tc>
          <w:tcPr>
            <w:tcW w:w="2605" w:type="dxa"/>
          </w:tcPr>
          <w:p w:rsidR="002A2F01" w:rsidRDefault="002A2F01" w:rsidP="00526C66">
            <w:pPr>
              <w:spacing w:line="480" w:lineRule="auto"/>
            </w:pPr>
            <w:r>
              <w:t>Aligns with distributional data across multiple years.</w:t>
            </w:r>
          </w:p>
        </w:tc>
      </w:tr>
      <w:tr w:rsidR="002A2F01" w:rsidTr="002904CA">
        <w:tc>
          <w:tcPr>
            <w:tcW w:w="1975" w:type="dxa"/>
          </w:tcPr>
          <w:p w:rsidR="002A2F01" w:rsidRDefault="002A2F01" w:rsidP="00526C66">
            <w:pPr>
              <w:spacing w:line="480" w:lineRule="auto"/>
            </w:pPr>
            <w:r>
              <w:t>Shows continuous change and trends across decades. Suited for datasets where relationships between years matter.</w:t>
            </w:r>
          </w:p>
        </w:tc>
        <w:tc>
          <w:tcPr>
            <w:tcW w:w="2340" w:type="dxa"/>
          </w:tcPr>
          <w:p w:rsidR="002A2F01" w:rsidRDefault="002A2F01" w:rsidP="00526C66">
            <w:pPr>
              <w:spacing w:line="480" w:lineRule="auto"/>
            </w:pPr>
            <w:r>
              <w:t>Not suited for showing change or distribution, just magnitude.</w:t>
            </w:r>
          </w:p>
        </w:tc>
        <w:tc>
          <w:tcPr>
            <w:tcW w:w="2430" w:type="dxa"/>
          </w:tcPr>
          <w:p w:rsidR="002A2F01" w:rsidRDefault="002A2F01" w:rsidP="00526C66">
            <w:pPr>
              <w:spacing w:line="480" w:lineRule="auto"/>
            </w:pPr>
            <w:r>
              <w:t>Good for analytically aligned questions about variation, spread, and long-term shifts.</w:t>
            </w:r>
          </w:p>
        </w:tc>
        <w:tc>
          <w:tcPr>
            <w:tcW w:w="2605" w:type="dxa"/>
          </w:tcPr>
          <w:p w:rsidR="002A2F01" w:rsidRDefault="002A2F01" w:rsidP="00526C66">
            <w:pPr>
              <w:spacing w:line="480" w:lineRule="auto"/>
            </w:pPr>
            <w:r>
              <w:t>Good for analytically aligned questions about variation, spread, and long-term shifts.</w:t>
            </w:r>
          </w:p>
        </w:tc>
      </w:tr>
      <w:tr w:rsidR="002A2F01" w:rsidTr="002904CA">
        <w:tc>
          <w:tcPr>
            <w:tcW w:w="1975" w:type="dxa"/>
          </w:tcPr>
          <w:p w:rsidR="002A2F01" w:rsidRDefault="002A2F01" w:rsidP="00526C66">
            <w:pPr>
              <w:spacing w:line="480" w:lineRule="auto"/>
            </w:pPr>
            <w:r>
              <w:t>Good for trends.</w:t>
            </w:r>
          </w:p>
        </w:tc>
        <w:tc>
          <w:tcPr>
            <w:tcW w:w="2340" w:type="dxa"/>
          </w:tcPr>
          <w:p w:rsidR="002A2F01" w:rsidRDefault="002A2F01" w:rsidP="00526C66">
            <w:pPr>
              <w:spacing w:line="480" w:lineRule="auto"/>
            </w:pPr>
            <w:r>
              <w:t>Good for categorical comparison.</w:t>
            </w:r>
          </w:p>
        </w:tc>
        <w:tc>
          <w:tcPr>
            <w:tcW w:w="2430" w:type="dxa"/>
          </w:tcPr>
          <w:p w:rsidR="002A2F01" w:rsidRDefault="002A2F01" w:rsidP="00526C66">
            <w:pPr>
              <w:spacing w:line="480" w:lineRule="auto"/>
            </w:pPr>
            <w:r>
              <w:t>Good for Change and distribution.</w:t>
            </w:r>
          </w:p>
        </w:tc>
        <w:tc>
          <w:tcPr>
            <w:tcW w:w="2605" w:type="dxa"/>
          </w:tcPr>
          <w:p w:rsidR="002A2F01" w:rsidRDefault="002A2F01" w:rsidP="00526C66">
            <w:pPr>
              <w:spacing w:line="480" w:lineRule="auto"/>
            </w:pPr>
            <w:r>
              <w:t>Good for Change and distribution.</w:t>
            </w:r>
          </w:p>
        </w:tc>
      </w:tr>
    </w:tbl>
    <w:p w:rsidR="003D317E" w:rsidRDefault="003D317E" w:rsidP="003D317E"/>
    <w:p w:rsidR="003D317E" w:rsidRDefault="0081666E" w:rsidP="003D317E">
      <w:pPr>
        <w:spacing w:line="480" w:lineRule="auto"/>
      </w:pPr>
      <w:r>
        <w:rPr>
          <w:b/>
          <w:bCs/>
        </w:rPr>
        <w:t>Evaluating the Visualizations</w:t>
      </w:r>
    </w:p>
    <w:p w:rsidR="0081666E" w:rsidRDefault="0081666E" w:rsidP="003D317E">
      <w:pPr>
        <w:spacing w:line="480" w:lineRule="auto"/>
      </w:pPr>
      <w:r>
        <w:tab/>
        <w:t xml:space="preserve">The visualizations themselves all look at the same data, but it can be shown </w:t>
      </w:r>
      <w:r w:rsidR="002904CA">
        <w:t>with a table that indicates strengths and weaknesses</w:t>
      </w:r>
      <w:r>
        <w:t>.</w:t>
      </w:r>
    </w:p>
    <w:p w:rsidR="0081666E" w:rsidRDefault="0081666E" w:rsidP="003D317E">
      <w:pPr>
        <w:spacing w:line="480" w:lineRule="auto"/>
      </w:pPr>
      <w:r>
        <w:rPr>
          <w:u w:val="single"/>
        </w:rPr>
        <w:t>Graph 1: Line Graph—30-year Trend</w:t>
      </w:r>
    </w:p>
    <w:tbl>
      <w:tblPr>
        <w:tblStyle w:val="TableGrid"/>
        <w:tblW w:w="0" w:type="auto"/>
        <w:tblLook w:val="04A0" w:firstRow="1" w:lastRow="0" w:firstColumn="1" w:lastColumn="0" w:noHBand="0" w:noVBand="1"/>
      </w:tblPr>
      <w:tblGrid>
        <w:gridCol w:w="4675"/>
        <w:gridCol w:w="4675"/>
      </w:tblGrid>
      <w:tr w:rsidR="0081666E" w:rsidTr="0081666E">
        <w:tc>
          <w:tcPr>
            <w:tcW w:w="4675" w:type="dxa"/>
          </w:tcPr>
          <w:p w:rsidR="0081666E" w:rsidRPr="00CE11EE" w:rsidRDefault="0081666E" w:rsidP="00CE11EE">
            <w:pPr>
              <w:spacing w:line="480" w:lineRule="auto"/>
              <w:jc w:val="center"/>
              <w:rPr>
                <w:b/>
                <w:bCs/>
              </w:rPr>
            </w:pPr>
            <w:r w:rsidRPr="00CE11EE">
              <w:rPr>
                <w:b/>
                <w:bCs/>
              </w:rPr>
              <w:lastRenderedPageBreak/>
              <w:t>Strengths</w:t>
            </w:r>
          </w:p>
        </w:tc>
        <w:tc>
          <w:tcPr>
            <w:tcW w:w="4675" w:type="dxa"/>
          </w:tcPr>
          <w:p w:rsidR="0081666E" w:rsidRPr="00CE11EE" w:rsidRDefault="0081666E" w:rsidP="00CE11EE">
            <w:pPr>
              <w:spacing w:line="480" w:lineRule="auto"/>
              <w:jc w:val="center"/>
              <w:rPr>
                <w:b/>
                <w:bCs/>
              </w:rPr>
            </w:pPr>
            <w:r w:rsidRPr="00CE11EE">
              <w:rPr>
                <w:b/>
                <w:bCs/>
              </w:rPr>
              <w:t>Weakness</w:t>
            </w:r>
          </w:p>
        </w:tc>
      </w:tr>
      <w:tr w:rsidR="0081666E" w:rsidTr="0081666E">
        <w:tc>
          <w:tcPr>
            <w:tcW w:w="4675" w:type="dxa"/>
          </w:tcPr>
          <w:p w:rsidR="0081666E" w:rsidRDefault="0081666E" w:rsidP="003D317E">
            <w:pPr>
              <w:spacing w:line="480" w:lineRule="auto"/>
            </w:pPr>
            <w:r>
              <w:t>Long-Term Patterns</w:t>
            </w:r>
          </w:p>
        </w:tc>
        <w:tc>
          <w:tcPr>
            <w:tcW w:w="4675" w:type="dxa"/>
          </w:tcPr>
          <w:p w:rsidR="0081666E" w:rsidRDefault="0081666E" w:rsidP="003D317E">
            <w:pPr>
              <w:spacing w:line="480" w:lineRule="auto"/>
            </w:pPr>
            <w:r>
              <w:t>Can feel visually busy: 5 lines in this graph.</w:t>
            </w:r>
          </w:p>
        </w:tc>
      </w:tr>
      <w:tr w:rsidR="0081666E" w:rsidTr="0081666E">
        <w:tc>
          <w:tcPr>
            <w:tcW w:w="4675" w:type="dxa"/>
          </w:tcPr>
          <w:p w:rsidR="0081666E" w:rsidRDefault="0081666E" w:rsidP="003D317E">
            <w:pPr>
              <w:spacing w:line="480" w:lineRule="auto"/>
            </w:pPr>
            <w:r>
              <w:t>Divergence/Convergence: how states do this over time.</w:t>
            </w:r>
          </w:p>
        </w:tc>
        <w:tc>
          <w:tcPr>
            <w:tcW w:w="4675" w:type="dxa"/>
          </w:tcPr>
          <w:p w:rsidR="0081666E" w:rsidRDefault="0081666E" w:rsidP="003D317E">
            <w:pPr>
              <w:spacing w:line="480" w:lineRule="auto"/>
            </w:pPr>
            <w:r>
              <w:t>Overlapping colors require more effort to interpret.</w:t>
            </w:r>
          </w:p>
        </w:tc>
      </w:tr>
      <w:tr w:rsidR="0081666E" w:rsidTr="0081666E">
        <w:tc>
          <w:tcPr>
            <w:tcW w:w="4675" w:type="dxa"/>
          </w:tcPr>
          <w:p w:rsidR="0081666E" w:rsidRDefault="0081666E" w:rsidP="003D317E">
            <w:pPr>
              <w:spacing w:line="480" w:lineRule="auto"/>
            </w:pPr>
            <w:r>
              <w:t>Ability to see a rise, fall, or stable trend: the state of the funds being appropriated.</w:t>
            </w:r>
          </w:p>
        </w:tc>
        <w:tc>
          <w:tcPr>
            <w:tcW w:w="4675" w:type="dxa"/>
          </w:tcPr>
          <w:p w:rsidR="0081666E" w:rsidRDefault="0081666E" w:rsidP="003D317E">
            <w:pPr>
              <w:spacing w:line="480" w:lineRule="auto"/>
            </w:pPr>
            <w:r>
              <w:t>Demands attention to detail and familiarity with trend graphs.</w:t>
            </w:r>
          </w:p>
        </w:tc>
      </w:tr>
    </w:tbl>
    <w:p w:rsidR="0081666E" w:rsidRDefault="0081666E" w:rsidP="0081666E"/>
    <w:p w:rsidR="00AF58F7" w:rsidRDefault="00AF58F7" w:rsidP="00AF58F7">
      <w:pPr>
        <w:spacing w:line="480" w:lineRule="auto"/>
      </w:pPr>
      <w:r>
        <w:tab/>
        <w:t>This is good for an analytically</w:t>
      </w:r>
      <w:r w:rsidR="00CE11EE">
        <w:t>-</w:t>
      </w:r>
      <w:r>
        <w:t>oriented audience. These people can be policy analysts or researchers.</w:t>
      </w:r>
    </w:p>
    <w:p w:rsidR="0081666E" w:rsidRDefault="0081666E" w:rsidP="0081666E">
      <w:pPr>
        <w:spacing w:line="480" w:lineRule="auto"/>
      </w:pPr>
      <w:r>
        <w:rPr>
          <w:u w:val="single"/>
        </w:rPr>
        <w:t>Graph 2: Bar Chart—Single-Year</w:t>
      </w:r>
    </w:p>
    <w:tbl>
      <w:tblPr>
        <w:tblStyle w:val="TableGrid"/>
        <w:tblW w:w="0" w:type="auto"/>
        <w:tblLook w:val="04A0" w:firstRow="1" w:lastRow="0" w:firstColumn="1" w:lastColumn="0" w:noHBand="0" w:noVBand="1"/>
      </w:tblPr>
      <w:tblGrid>
        <w:gridCol w:w="4675"/>
        <w:gridCol w:w="4675"/>
      </w:tblGrid>
      <w:tr w:rsidR="0081666E" w:rsidTr="0081666E">
        <w:tc>
          <w:tcPr>
            <w:tcW w:w="4675" w:type="dxa"/>
          </w:tcPr>
          <w:p w:rsidR="0081666E" w:rsidRPr="00CE11EE" w:rsidRDefault="0081666E" w:rsidP="00CE11EE">
            <w:pPr>
              <w:spacing w:line="480" w:lineRule="auto"/>
              <w:jc w:val="center"/>
              <w:rPr>
                <w:b/>
                <w:bCs/>
              </w:rPr>
            </w:pPr>
            <w:r w:rsidRPr="00CE11EE">
              <w:rPr>
                <w:b/>
                <w:bCs/>
              </w:rPr>
              <w:t>Strengths</w:t>
            </w:r>
          </w:p>
        </w:tc>
        <w:tc>
          <w:tcPr>
            <w:tcW w:w="4675" w:type="dxa"/>
          </w:tcPr>
          <w:p w:rsidR="0081666E" w:rsidRPr="00CE11EE" w:rsidRDefault="0081666E" w:rsidP="00CE11EE">
            <w:pPr>
              <w:spacing w:line="480" w:lineRule="auto"/>
              <w:jc w:val="center"/>
              <w:rPr>
                <w:b/>
                <w:bCs/>
              </w:rPr>
            </w:pPr>
            <w:r w:rsidRPr="00CE11EE">
              <w:rPr>
                <w:b/>
                <w:bCs/>
              </w:rPr>
              <w:t>Weaknesses</w:t>
            </w:r>
          </w:p>
        </w:tc>
      </w:tr>
      <w:tr w:rsidR="0081666E" w:rsidTr="0081666E">
        <w:tc>
          <w:tcPr>
            <w:tcW w:w="4675" w:type="dxa"/>
          </w:tcPr>
          <w:p w:rsidR="0081666E" w:rsidRDefault="0081666E" w:rsidP="0081666E">
            <w:pPr>
              <w:spacing w:line="480" w:lineRule="auto"/>
            </w:pPr>
            <w:r>
              <w:t>Quick and intuitive comparison</w:t>
            </w:r>
          </w:p>
        </w:tc>
        <w:tc>
          <w:tcPr>
            <w:tcW w:w="4675" w:type="dxa"/>
          </w:tcPr>
          <w:p w:rsidR="0081666E" w:rsidRDefault="00AF58F7" w:rsidP="0081666E">
            <w:pPr>
              <w:spacing w:line="480" w:lineRule="auto"/>
            </w:pPr>
            <w:r>
              <w:t>Only one year of data.</w:t>
            </w:r>
          </w:p>
        </w:tc>
      </w:tr>
      <w:tr w:rsidR="00AF58F7" w:rsidTr="0081666E">
        <w:tc>
          <w:tcPr>
            <w:tcW w:w="4675" w:type="dxa"/>
          </w:tcPr>
          <w:p w:rsidR="00AF58F7" w:rsidRDefault="00AF58F7" w:rsidP="0081666E">
            <w:pPr>
              <w:spacing w:line="480" w:lineRule="auto"/>
            </w:pPr>
            <w:r>
              <w:t>Clear sense of who is above a set point: national average in this graph.</w:t>
            </w:r>
          </w:p>
        </w:tc>
        <w:tc>
          <w:tcPr>
            <w:tcW w:w="4675" w:type="dxa"/>
          </w:tcPr>
          <w:p w:rsidR="00AF58F7" w:rsidRDefault="00AF58F7" w:rsidP="0081666E">
            <w:pPr>
              <w:spacing w:line="480" w:lineRule="auto"/>
            </w:pPr>
          </w:p>
        </w:tc>
      </w:tr>
      <w:tr w:rsidR="00AF58F7" w:rsidTr="0081666E">
        <w:tc>
          <w:tcPr>
            <w:tcW w:w="4675" w:type="dxa"/>
          </w:tcPr>
          <w:p w:rsidR="00AF58F7" w:rsidRDefault="00AF58F7" w:rsidP="0081666E">
            <w:pPr>
              <w:spacing w:line="480" w:lineRule="auto"/>
            </w:pPr>
            <w:r>
              <w:t>Simple</w:t>
            </w:r>
            <w:r w:rsidR="00CE11EE">
              <w:t xml:space="preserve">: </w:t>
            </w:r>
            <w:r>
              <w:t>single-year</w:t>
            </w:r>
          </w:p>
        </w:tc>
        <w:tc>
          <w:tcPr>
            <w:tcW w:w="4675" w:type="dxa"/>
          </w:tcPr>
          <w:p w:rsidR="00AF58F7" w:rsidRDefault="00AF58F7" w:rsidP="0081666E">
            <w:pPr>
              <w:spacing w:line="480" w:lineRule="auto"/>
            </w:pPr>
            <w:r>
              <w:t>Needs another graph if you want to know another year.</w:t>
            </w:r>
          </w:p>
        </w:tc>
      </w:tr>
    </w:tbl>
    <w:p w:rsidR="0081666E" w:rsidRDefault="0081666E" w:rsidP="0081666E"/>
    <w:p w:rsidR="00AF58F7" w:rsidRDefault="00AF58F7" w:rsidP="00AF58F7">
      <w:pPr>
        <w:spacing w:line="480" w:lineRule="auto"/>
      </w:pPr>
      <w:r>
        <w:tab/>
        <w:t>This is the most accessible because it’s easy to compare, has immediate context, and no statistical knowledge needed. This is good for administrators, general audiences, and legislators.</w:t>
      </w:r>
    </w:p>
    <w:p w:rsidR="0081666E" w:rsidRDefault="0081666E" w:rsidP="0081666E">
      <w:pPr>
        <w:rPr>
          <w:u w:val="single"/>
        </w:rPr>
      </w:pPr>
      <w:r>
        <w:rPr>
          <w:u w:val="single"/>
        </w:rPr>
        <w:t>Graphs 3 and 4:</w:t>
      </w:r>
      <w:r w:rsidR="00311CDE">
        <w:rPr>
          <w:u w:val="single"/>
        </w:rPr>
        <w:t xml:space="preserve"> Percentage-Change Bar and Box Plot—Storytelling Visualization</w:t>
      </w:r>
    </w:p>
    <w:p w:rsidR="0081666E" w:rsidRDefault="0081666E" w:rsidP="0081666E"/>
    <w:tbl>
      <w:tblPr>
        <w:tblStyle w:val="TableGrid"/>
        <w:tblW w:w="0" w:type="auto"/>
        <w:tblLook w:val="04A0" w:firstRow="1" w:lastRow="0" w:firstColumn="1" w:lastColumn="0" w:noHBand="0" w:noVBand="1"/>
      </w:tblPr>
      <w:tblGrid>
        <w:gridCol w:w="4675"/>
        <w:gridCol w:w="4675"/>
      </w:tblGrid>
      <w:tr w:rsidR="0081666E" w:rsidTr="0081666E">
        <w:tc>
          <w:tcPr>
            <w:tcW w:w="4675" w:type="dxa"/>
          </w:tcPr>
          <w:p w:rsidR="0081666E" w:rsidRPr="00CE11EE" w:rsidRDefault="0081666E" w:rsidP="00CE11EE">
            <w:pPr>
              <w:spacing w:line="480" w:lineRule="auto"/>
              <w:jc w:val="center"/>
              <w:rPr>
                <w:b/>
                <w:bCs/>
              </w:rPr>
            </w:pPr>
            <w:r w:rsidRPr="00CE11EE">
              <w:rPr>
                <w:b/>
                <w:bCs/>
              </w:rPr>
              <w:t>Strengths</w:t>
            </w:r>
          </w:p>
        </w:tc>
        <w:tc>
          <w:tcPr>
            <w:tcW w:w="4675" w:type="dxa"/>
          </w:tcPr>
          <w:p w:rsidR="0081666E" w:rsidRPr="00CE11EE" w:rsidRDefault="0081666E" w:rsidP="00CE11EE">
            <w:pPr>
              <w:spacing w:line="480" w:lineRule="auto"/>
              <w:jc w:val="center"/>
              <w:rPr>
                <w:b/>
                <w:bCs/>
              </w:rPr>
            </w:pPr>
            <w:r w:rsidRPr="00CE11EE">
              <w:rPr>
                <w:b/>
                <w:bCs/>
              </w:rPr>
              <w:t>Weaknesses</w:t>
            </w:r>
          </w:p>
        </w:tc>
      </w:tr>
      <w:tr w:rsidR="0081666E" w:rsidTr="0081666E">
        <w:tc>
          <w:tcPr>
            <w:tcW w:w="4675" w:type="dxa"/>
          </w:tcPr>
          <w:p w:rsidR="0081666E" w:rsidRDefault="00311CDE" w:rsidP="0081666E">
            <w:pPr>
              <w:spacing w:line="480" w:lineRule="auto"/>
            </w:pPr>
            <w:r>
              <w:t>Narrative changes</w:t>
            </w:r>
          </w:p>
        </w:tc>
        <w:tc>
          <w:tcPr>
            <w:tcW w:w="4675" w:type="dxa"/>
          </w:tcPr>
          <w:p w:rsidR="0081666E" w:rsidRDefault="00311CDE" w:rsidP="0081666E">
            <w:pPr>
              <w:spacing w:line="480" w:lineRule="auto"/>
            </w:pPr>
            <w:r>
              <w:t>Percentage change is intuitive, but the box plot requires statistical literacy.</w:t>
            </w:r>
          </w:p>
        </w:tc>
      </w:tr>
      <w:tr w:rsidR="00311CDE" w:rsidTr="0081666E">
        <w:tc>
          <w:tcPr>
            <w:tcW w:w="4675" w:type="dxa"/>
          </w:tcPr>
          <w:p w:rsidR="00311CDE" w:rsidRDefault="00311CDE" w:rsidP="0081666E">
            <w:pPr>
              <w:spacing w:line="480" w:lineRule="auto"/>
            </w:pPr>
            <w:r>
              <w:t>Insight into variation, not just averages</w:t>
            </w:r>
          </w:p>
        </w:tc>
        <w:tc>
          <w:tcPr>
            <w:tcW w:w="4675" w:type="dxa"/>
          </w:tcPr>
          <w:p w:rsidR="00311CDE" w:rsidRDefault="00311CDE" w:rsidP="0081666E">
            <w:pPr>
              <w:spacing w:line="480" w:lineRule="auto"/>
            </w:pPr>
            <w:r>
              <w:t xml:space="preserve">Requires both graphs to make sense. </w:t>
            </w:r>
          </w:p>
        </w:tc>
      </w:tr>
      <w:tr w:rsidR="00311CDE" w:rsidTr="0081666E">
        <w:tc>
          <w:tcPr>
            <w:tcW w:w="4675" w:type="dxa"/>
          </w:tcPr>
          <w:p w:rsidR="00311CDE" w:rsidRDefault="00311CDE" w:rsidP="0081666E">
            <w:pPr>
              <w:spacing w:line="480" w:lineRule="auto"/>
            </w:pPr>
            <w:r>
              <w:lastRenderedPageBreak/>
              <w:t>Deeper understanding of growth and distribution: in this case how states differ.</w:t>
            </w:r>
          </w:p>
        </w:tc>
        <w:tc>
          <w:tcPr>
            <w:tcW w:w="4675" w:type="dxa"/>
          </w:tcPr>
          <w:p w:rsidR="00311CDE" w:rsidRDefault="00311CDE" w:rsidP="0081666E">
            <w:pPr>
              <w:spacing w:line="480" w:lineRule="auto"/>
            </w:pPr>
          </w:p>
        </w:tc>
      </w:tr>
    </w:tbl>
    <w:p w:rsidR="00311CDE" w:rsidRDefault="00311CDE" w:rsidP="00311CDE"/>
    <w:p w:rsidR="00AB27A2" w:rsidRDefault="00311CDE" w:rsidP="00AB27A2">
      <w:pPr>
        <w:spacing w:line="480" w:lineRule="auto"/>
      </w:pPr>
      <w:r>
        <w:tab/>
        <w:t>These charts are more appropriate for those who are data</w:t>
      </w:r>
      <w:r w:rsidR="00CE11EE">
        <w:t>-</w:t>
      </w:r>
      <w:r>
        <w:t>oriented. This can be institutional researchers and budget analysts. It doesn’t work for general readers.</w:t>
      </w:r>
    </w:p>
    <w:p w:rsidR="00AB27A2" w:rsidRDefault="00AB27A2" w:rsidP="00AB27A2">
      <w:pPr>
        <w:spacing w:line="480" w:lineRule="auto"/>
      </w:pPr>
      <w:r>
        <w:rPr>
          <w:b/>
          <w:bCs/>
        </w:rPr>
        <w:t>Refinement Recommendations</w:t>
      </w:r>
    </w:p>
    <w:p w:rsidR="00AB27A2" w:rsidRDefault="00AB27A2" w:rsidP="00AB27A2">
      <w:pPr>
        <w:spacing w:line="480" w:lineRule="auto"/>
      </w:pPr>
      <w:r>
        <w:tab/>
        <w:t>In terms of refinement, as the graphs are right now, they look fine, you can see the different colors clearly on the line chart, each bar is clearly labelled, and you can see where groupings are in the third and fourth</w:t>
      </w:r>
      <w:r w:rsidR="00CE11EE">
        <w:t>. However,</w:t>
      </w:r>
      <w:r>
        <w:t xml:space="preserve"> if you want to compare more data, this becomes a problem. A key is that each refinement</w:t>
      </w:r>
      <w:r w:rsidR="00CE11EE">
        <w:t xml:space="preserve"> needs to</w:t>
      </w:r>
      <w:r>
        <w:t xml:space="preserve"> be targeted and realistic. Below are some refinements that can be used.</w:t>
      </w:r>
    </w:p>
    <w:p w:rsidR="00AB27A2" w:rsidRDefault="00AB27A2" w:rsidP="00AB27A2">
      <w:pPr>
        <w:pStyle w:val="ListParagraph"/>
        <w:numPr>
          <w:ilvl w:val="0"/>
          <w:numId w:val="1"/>
        </w:numPr>
        <w:spacing w:line="480" w:lineRule="auto"/>
      </w:pPr>
      <w:r>
        <w:t>Adjusting color contrast</w:t>
      </w:r>
    </w:p>
    <w:p w:rsidR="00AB27A2" w:rsidRDefault="00AB27A2" w:rsidP="00AB27A2">
      <w:pPr>
        <w:pStyle w:val="ListParagraph"/>
        <w:numPr>
          <w:ilvl w:val="0"/>
          <w:numId w:val="1"/>
        </w:numPr>
        <w:spacing w:line="480" w:lineRule="auto"/>
      </w:pPr>
      <w:r>
        <w:t>Adding or clarifying labels (think of the graphs that have axes with no labels)</w:t>
      </w:r>
    </w:p>
    <w:p w:rsidR="00AB27A2" w:rsidRDefault="00AB27A2" w:rsidP="00AB27A2">
      <w:pPr>
        <w:pStyle w:val="ListParagraph"/>
        <w:numPr>
          <w:ilvl w:val="0"/>
          <w:numId w:val="1"/>
        </w:numPr>
        <w:spacing w:line="480" w:lineRule="auto"/>
      </w:pPr>
      <w:r>
        <w:t>Reduce Cluttering</w:t>
      </w:r>
    </w:p>
    <w:p w:rsidR="00AB27A2" w:rsidRDefault="00AB27A2" w:rsidP="00AB27A2">
      <w:pPr>
        <w:pStyle w:val="ListParagraph"/>
        <w:numPr>
          <w:ilvl w:val="0"/>
          <w:numId w:val="1"/>
        </w:numPr>
        <w:spacing w:line="480" w:lineRule="auto"/>
      </w:pPr>
      <w:r>
        <w:t>Adding Context Markers (averages and benchmarks, what we see in graph 2)</w:t>
      </w:r>
    </w:p>
    <w:p w:rsidR="00AB27A2" w:rsidRDefault="00AB27A2" w:rsidP="00AB27A2">
      <w:pPr>
        <w:pStyle w:val="ListParagraph"/>
        <w:numPr>
          <w:ilvl w:val="0"/>
          <w:numId w:val="1"/>
        </w:numPr>
        <w:spacing w:line="480" w:lineRule="auto"/>
      </w:pPr>
      <w:r>
        <w:t>Reordering categories</w:t>
      </w:r>
    </w:p>
    <w:p w:rsidR="00AB27A2" w:rsidRDefault="00AB27A2" w:rsidP="00AB27A2">
      <w:pPr>
        <w:pStyle w:val="ListParagraph"/>
        <w:numPr>
          <w:ilvl w:val="0"/>
          <w:numId w:val="1"/>
        </w:numPr>
        <w:spacing w:line="480" w:lineRule="auto"/>
      </w:pPr>
      <w:r>
        <w:t>Simplifying statistical visuals</w:t>
      </w:r>
    </w:p>
    <w:p w:rsidR="00AB27A2" w:rsidRDefault="00AB27A2" w:rsidP="00AB27A2">
      <w:pPr>
        <w:pStyle w:val="ListParagraph"/>
        <w:numPr>
          <w:ilvl w:val="0"/>
          <w:numId w:val="1"/>
        </w:numPr>
        <w:spacing w:line="480" w:lineRule="auto"/>
      </w:pPr>
      <w:r>
        <w:t>Breaking complex visuals into smaller parts</w:t>
      </w:r>
    </w:p>
    <w:p w:rsidR="00AB27A2" w:rsidRDefault="00C87ED2" w:rsidP="00C87ED2">
      <w:pPr>
        <w:spacing w:line="480" w:lineRule="auto"/>
        <w:ind w:firstLine="720"/>
      </w:pPr>
      <w:r>
        <w:t xml:space="preserve">When looking at these refinements, they’re important because they improve readability, example being if you want to look at all </w:t>
      </w:r>
      <w:r w:rsidR="00CE11EE">
        <w:t>fifty</w:t>
      </w:r>
      <w:r>
        <w:t xml:space="preserve"> states in the line graph, having the color contrast be clear enough means someone can more easily follow where points meet or cross without getting lost. It reduces the cognitive load. If you’re a more general audience, you can see what each section is, what it’s representing</w:t>
      </w:r>
      <w:r w:rsidR="00CE11EE">
        <w:t>,</w:t>
      </w:r>
      <w:r>
        <w:t xml:space="preserve"> and also make sense of each component without having to work as hard. If you’re comparing two pieces of data, it’s easier to make those comparisons because </w:t>
      </w:r>
      <w:r>
        <w:lastRenderedPageBreak/>
        <w:t>you’re capable of reading it. The narrative becomes clearer</w:t>
      </w:r>
      <w:r w:rsidR="00CE11EE">
        <w:t>.</w:t>
      </w:r>
      <w:r>
        <w:t xml:space="preserve"> </w:t>
      </w:r>
      <w:r w:rsidR="00CE11EE">
        <w:t>T</w:t>
      </w:r>
      <w:r>
        <w:t>his is especially true in the storytelling graphs because they require more statistical literacy and clarity can be lost without these refinements. It also supports those who are non-technical and want to see quick information</w:t>
      </w:r>
      <w:r w:rsidR="00CE11EE">
        <w:t>. This lets them</w:t>
      </w:r>
      <w:r>
        <w:t xml:space="preserve"> make an informed decision without having to be a data analyst. It also highlights the most important insight</w:t>
      </w:r>
      <w:r w:rsidR="00CE11EE">
        <w:t>s</w:t>
      </w:r>
      <w:r>
        <w:t>.</w:t>
      </w:r>
      <w:r w:rsidR="00CE11EE">
        <w:t xml:space="preserve"> That helps in getting information quickly.</w:t>
      </w:r>
    </w:p>
    <w:p w:rsidR="004A6535" w:rsidRDefault="004A6535" w:rsidP="004A6535">
      <w:pPr>
        <w:spacing w:line="480" w:lineRule="auto"/>
        <w:rPr>
          <w:b/>
          <w:bCs/>
        </w:rPr>
      </w:pPr>
      <w:r>
        <w:rPr>
          <w:b/>
          <w:bCs/>
        </w:rPr>
        <w:t>Conclusion</w:t>
      </w:r>
    </w:p>
    <w:p w:rsidR="004A6535" w:rsidRPr="004A6535" w:rsidRDefault="004A6535" w:rsidP="004A6535">
      <w:pPr>
        <w:spacing w:line="480" w:lineRule="auto"/>
      </w:pPr>
      <w:r>
        <w:tab/>
        <w:t>This data is being presented in three different ways can appear as different to people unsure of how to analyze data, but when you understand how the story is being told through these graphs, you can see the trends and make an informed decision.</w:t>
      </w:r>
    </w:p>
    <w:sectPr w:rsidR="004A6535" w:rsidRPr="004A6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97D22"/>
    <w:multiLevelType w:val="hybridMultilevel"/>
    <w:tmpl w:val="09F8E314"/>
    <w:lvl w:ilvl="0" w:tplc="A9CC7F66">
      <w:start w:val="30"/>
      <w:numFmt w:val="bullet"/>
      <w:lvlText w:val=""/>
      <w:lvlJc w:val="left"/>
      <w:pPr>
        <w:ind w:left="720" w:hanging="360"/>
      </w:pPr>
      <w:rPr>
        <w:rFonts w:ascii="Symbol" w:eastAsiaTheme="minorEastAsia"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9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9A"/>
    <w:rsid w:val="000F3B55"/>
    <w:rsid w:val="00120B6B"/>
    <w:rsid w:val="002904CA"/>
    <w:rsid w:val="002A2F01"/>
    <w:rsid w:val="00311CDE"/>
    <w:rsid w:val="00334B50"/>
    <w:rsid w:val="00357FCC"/>
    <w:rsid w:val="003924FE"/>
    <w:rsid w:val="003D317E"/>
    <w:rsid w:val="003F6B36"/>
    <w:rsid w:val="00477F64"/>
    <w:rsid w:val="004870E1"/>
    <w:rsid w:val="004A6535"/>
    <w:rsid w:val="00512392"/>
    <w:rsid w:val="00526C66"/>
    <w:rsid w:val="005A0E5B"/>
    <w:rsid w:val="005A4DA9"/>
    <w:rsid w:val="00610CEC"/>
    <w:rsid w:val="006D459A"/>
    <w:rsid w:val="0081666E"/>
    <w:rsid w:val="00910A96"/>
    <w:rsid w:val="00921368"/>
    <w:rsid w:val="009F1A79"/>
    <w:rsid w:val="00AB27A2"/>
    <w:rsid w:val="00AF58F7"/>
    <w:rsid w:val="00B37995"/>
    <w:rsid w:val="00C16ABC"/>
    <w:rsid w:val="00C87ED2"/>
    <w:rsid w:val="00CE11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BA3481"/>
  <w15:chartTrackingRefBased/>
  <w15:docId w15:val="{C9707C65-F3A8-F94D-81DE-1DE089F5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table" w:styleId="TableGrid">
    <w:name w:val="Table Grid"/>
    <w:basedOn w:val="TableNormal"/>
    <w:uiPriority w:val="39"/>
    <w:rsid w:val="0033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17</cp:revision>
  <dcterms:created xsi:type="dcterms:W3CDTF">2026-02-22T07:07:00Z</dcterms:created>
  <dcterms:modified xsi:type="dcterms:W3CDTF">2026-02-26T20:13:00Z</dcterms:modified>
</cp:coreProperties>
</file>