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70E1" w:rsidRDefault="004870E1" w:rsidP="004870E1">
      <w:pPr>
        <w:spacing w:line="480" w:lineRule="auto"/>
        <w:jc w:val="center"/>
      </w:pPr>
      <w:r>
        <w:rPr>
          <w:b/>
          <w:bCs/>
        </w:rPr>
        <w:t xml:space="preserve">Module 4: </w:t>
      </w:r>
      <w:r w:rsidR="00011BDF">
        <w:rPr>
          <w:b/>
          <w:bCs/>
        </w:rPr>
        <w:t>Reflection</w:t>
      </w:r>
    </w:p>
    <w:p w:rsidR="004870E1" w:rsidRDefault="004870E1" w:rsidP="004870E1">
      <w:pPr>
        <w:spacing w:line="480" w:lineRule="auto"/>
        <w:jc w:val="center"/>
      </w:pPr>
    </w:p>
    <w:p w:rsidR="004870E1" w:rsidRDefault="004870E1" w:rsidP="004870E1">
      <w:pPr>
        <w:spacing w:line="480" w:lineRule="auto"/>
        <w:jc w:val="center"/>
      </w:pPr>
      <w:r>
        <w:t>Samantha Durr</w:t>
      </w:r>
    </w:p>
    <w:p w:rsidR="004870E1" w:rsidRDefault="004870E1" w:rsidP="004870E1">
      <w:pPr>
        <w:jc w:val="center"/>
      </w:pPr>
    </w:p>
    <w:p w:rsidR="004870E1" w:rsidRDefault="004870E1" w:rsidP="004870E1">
      <w:pPr>
        <w:jc w:val="center"/>
      </w:pPr>
      <w:r>
        <w:t>Computer Science, Southern New Hampshire University</w:t>
      </w:r>
    </w:p>
    <w:p w:rsidR="004870E1" w:rsidRDefault="004870E1" w:rsidP="004870E1">
      <w:pPr>
        <w:jc w:val="center"/>
      </w:pPr>
    </w:p>
    <w:p w:rsidR="004870E1" w:rsidRDefault="004870E1" w:rsidP="004870E1">
      <w:pPr>
        <w:jc w:val="center"/>
      </w:pPr>
      <w:r>
        <w:t>CS 540: Data Literacy and Visualization</w:t>
      </w:r>
    </w:p>
    <w:p w:rsidR="004870E1" w:rsidRDefault="004870E1" w:rsidP="004870E1">
      <w:pPr>
        <w:jc w:val="center"/>
      </w:pPr>
    </w:p>
    <w:p w:rsidR="004870E1" w:rsidRDefault="00D34FF9" w:rsidP="004870E1">
      <w:pPr>
        <w:jc w:val="center"/>
      </w:pPr>
      <w:r>
        <w:t>March 2</w:t>
      </w:r>
      <w:r w:rsidR="004870E1">
        <w:t>, 2026</w:t>
      </w:r>
    </w:p>
    <w:p w:rsidR="00487107" w:rsidRDefault="004870E1" w:rsidP="00487107">
      <w:pPr>
        <w:spacing w:line="480" w:lineRule="auto"/>
        <w:ind w:firstLine="720"/>
      </w:pPr>
      <w:r>
        <w:br w:type="page"/>
      </w:r>
      <w:r w:rsidR="00A5007E">
        <w:lastRenderedPageBreak/>
        <w:t xml:space="preserve">Data contains patterns and the use of charts can help distinguish those patterns. When it comes to the data we’re studying in this assignment, it can be shown in the </w:t>
      </w:r>
      <w:r w:rsidR="005E4FF1">
        <w:t>following</w:t>
      </w:r>
      <w:r w:rsidR="00A5007E">
        <w:t xml:space="preserve"> list:</w:t>
      </w:r>
    </w:p>
    <w:p w:rsidR="00487107" w:rsidRDefault="00487107" w:rsidP="00487107">
      <w:pPr>
        <w:pStyle w:val="ListParagraph"/>
        <w:numPr>
          <w:ilvl w:val="0"/>
          <w:numId w:val="2"/>
        </w:numPr>
        <w:spacing w:line="480" w:lineRule="auto"/>
      </w:pPr>
      <w:r>
        <w:rPr>
          <w:u w:val="single"/>
        </w:rPr>
        <w:t>Trends</w:t>
      </w:r>
      <w:r>
        <w:t xml:space="preserve">: </w:t>
      </w:r>
      <w:r w:rsidR="00A5007E">
        <w:t>T</w:t>
      </w:r>
      <w:r>
        <w:t xml:space="preserve">here are </w:t>
      </w:r>
      <w:r w:rsidR="00B71A64">
        <w:t>two</w:t>
      </w:r>
      <w:r>
        <w:t xml:space="preserve"> distinct charts, the line chart </w:t>
      </w:r>
      <w:r w:rsidR="00A5007E">
        <w:t xml:space="preserve">and </w:t>
      </w:r>
      <w:r>
        <w:t>the scatter plot</w:t>
      </w:r>
      <w:r w:rsidR="005E4FF1">
        <w:t>,</w:t>
      </w:r>
      <w:r>
        <w:t xml:space="preserve"> that show trends. The line chart shows that MAIN dips in cluster </w:t>
      </w:r>
      <w:r w:rsidR="00DB4A14">
        <w:t>2</w:t>
      </w:r>
      <w:r>
        <w:t>, but remains high in clusters 1, 3, and 4. The scatter plot</w:t>
      </w:r>
      <w:r w:rsidR="00A5007E">
        <w:t xml:space="preserve"> </w:t>
      </w:r>
      <w:r>
        <w:t>shows that the CIPCODE and CREDLEV have distinct grouping patterns.</w:t>
      </w:r>
    </w:p>
    <w:p w:rsidR="00487107" w:rsidRDefault="00487107" w:rsidP="00487107">
      <w:pPr>
        <w:pStyle w:val="ListParagraph"/>
        <w:numPr>
          <w:ilvl w:val="0"/>
          <w:numId w:val="2"/>
        </w:numPr>
        <w:spacing w:line="480" w:lineRule="auto"/>
      </w:pPr>
      <w:r>
        <w:rPr>
          <w:u w:val="single"/>
        </w:rPr>
        <w:t>Clusters</w:t>
      </w:r>
      <w:r>
        <w:t xml:space="preserve">: </w:t>
      </w:r>
      <w:r w:rsidR="00DB4A14">
        <w:t>T</w:t>
      </w:r>
      <w:r>
        <w:t>hree of our plots, the PCA scatter plot, the scatter plot, and the heatmap</w:t>
      </w:r>
      <w:r w:rsidR="001E5C7C">
        <w:t>,</w:t>
      </w:r>
      <w:r>
        <w:t xml:space="preserve"> </w:t>
      </w:r>
      <w:r w:rsidR="001A1FC0">
        <w:t>show</w:t>
      </w:r>
      <w:r w:rsidR="00A5007E">
        <w:t xml:space="preserve"> </w:t>
      </w:r>
      <w:r w:rsidR="00DB4A14">
        <w:t>our clusters</w:t>
      </w:r>
      <w:r>
        <w:t>. The PCA scatter plot gives us four distinct groups that confirm cluster structure. The scatter plot contains horizontal bands for CREDLEV. This results in the clusters aligning with discrete CREDLEV levels. The heatmap itself shows feature-level clustering where MAIN is consistently high, but CIPCODE, CREDLEV, and DISTANCE vary by cluster.</w:t>
      </w:r>
    </w:p>
    <w:p w:rsidR="00487107" w:rsidRDefault="00487107" w:rsidP="00487107">
      <w:pPr>
        <w:pStyle w:val="ListParagraph"/>
        <w:numPr>
          <w:ilvl w:val="0"/>
          <w:numId w:val="2"/>
        </w:numPr>
        <w:spacing w:line="480" w:lineRule="auto"/>
      </w:pPr>
      <w:r>
        <w:rPr>
          <w:u w:val="single"/>
        </w:rPr>
        <w:t>Outliers</w:t>
      </w:r>
      <w:r>
        <w:t xml:space="preserve">: The bar chart and line chart show </w:t>
      </w:r>
      <w:r w:rsidR="00DB4A14">
        <w:t>the outliers</w:t>
      </w:r>
      <w:r>
        <w:t xml:space="preserve">. The </w:t>
      </w:r>
      <w:r w:rsidR="00A5007E">
        <w:t>b</w:t>
      </w:r>
      <w:r>
        <w:t xml:space="preserve">ar chart shows that cluster </w:t>
      </w:r>
      <w:r w:rsidR="00DB4A14">
        <w:t>2</w:t>
      </w:r>
      <w:r>
        <w:t xml:space="preserve"> is an outlier in size and has more data</w:t>
      </w:r>
      <w:r w:rsidR="00B45296">
        <w:t xml:space="preserve"> </w:t>
      </w:r>
      <w:r>
        <w:t>points than other</w:t>
      </w:r>
      <w:r w:rsidR="002D5CFB">
        <w:t xml:space="preserve"> the</w:t>
      </w:r>
      <w:r>
        <w:t xml:space="preserve"> clusters. The line chart shows that MAIN </w:t>
      </w:r>
      <w:r w:rsidR="00A5007E">
        <w:t xml:space="preserve">has a single low point </w:t>
      </w:r>
      <w:r w:rsidR="00C90044">
        <w:t>in</w:t>
      </w:r>
      <w:r w:rsidR="00A5007E">
        <w:t xml:space="preserve"> cluster 2, while clusters 1, </w:t>
      </w:r>
      <w:r w:rsidR="00B45296">
        <w:t>3</w:t>
      </w:r>
      <w:r w:rsidR="00A5007E">
        <w:t xml:space="preserve">, and </w:t>
      </w:r>
      <w:r w:rsidR="00B45296">
        <w:t>4</w:t>
      </w:r>
      <w:r w:rsidR="00A5007E">
        <w:t xml:space="preserve"> are consistently high.</w:t>
      </w:r>
    </w:p>
    <w:p w:rsidR="00487107" w:rsidRDefault="00487107" w:rsidP="00487107">
      <w:pPr>
        <w:pStyle w:val="ListParagraph"/>
        <w:numPr>
          <w:ilvl w:val="0"/>
          <w:numId w:val="2"/>
        </w:numPr>
        <w:spacing w:line="480" w:lineRule="auto"/>
      </w:pPr>
      <w:r>
        <w:rPr>
          <w:u w:val="single"/>
        </w:rPr>
        <w:t>Consistent Behavior Across Charts</w:t>
      </w:r>
      <w:r>
        <w:t xml:space="preserve">: The </w:t>
      </w:r>
      <w:r w:rsidR="004570DA">
        <w:t>consistent</w:t>
      </w:r>
      <w:r>
        <w:t xml:space="preserve"> behavior </w:t>
      </w:r>
      <w:r w:rsidR="00B45296">
        <w:t xml:space="preserve">shows </w:t>
      </w:r>
      <w:r>
        <w:t xml:space="preserve">that cluster </w:t>
      </w:r>
      <w:r w:rsidR="00DB4A14">
        <w:t>2</w:t>
      </w:r>
      <w:r>
        <w:t xml:space="preserve"> behaves differently </w:t>
      </w:r>
      <w:r w:rsidR="004570DA">
        <w:t>across</w:t>
      </w:r>
      <w:r>
        <w:t xml:space="preserve"> multiple charts. MAIN is consistently high across nearly </w:t>
      </w:r>
      <w:r w:rsidR="00DB4A14">
        <w:t>all</w:t>
      </w:r>
      <w:r>
        <w:t xml:space="preserve"> clusters. Lastly, CIPCODE and CREDLEV consistently show variation</w:t>
      </w:r>
      <w:r w:rsidR="00543E5C">
        <w:t xml:space="preserve"> across clusters</w:t>
      </w:r>
      <w:r>
        <w:t>.</w:t>
      </w:r>
    </w:p>
    <w:p w:rsidR="00487107" w:rsidRDefault="00487107" w:rsidP="00487107">
      <w:pPr>
        <w:spacing w:line="480" w:lineRule="auto"/>
        <w:ind w:firstLine="720"/>
      </w:pPr>
      <w:r>
        <w:t xml:space="preserve">From here, we can draw conclusions that cluster </w:t>
      </w:r>
      <w:r w:rsidR="00DB4A14">
        <w:t>2</w:t>
      </w:r>
      <w:r>
        <w:t xml:space="preserve"> is the largest and </w:t>
      </w:r>
      <w:r w:rsidR="00DC2149">
        <w:t>shows</w:t>
      </w:r>
      <w:r>
        <w:t xml:space="preserve"> the deviation in MAIN. This gives it a </w:t>
      </w:r>
      <w:r w:rsidR="00AF5112">
        <w:t>different cluster</w:t>
      </w:r>
      <w:r>
        <w:t xml:space="preserve"> structure. At the same time, we know that MAIN isn</w:t>
      </w:r>
      <w:r w:rsidR="00DB4A14">
        <w:t>’</w:t>
      </w:r>
      <w:r>
        <w:t xml:space="preserve">t a strong differentiator, as the other clusters remain high outside of cluster </w:t>
      </w:r>
      <w:r w:rsidR="00DB4A14">
        <w:t>2</w:t>
      </w:r>
      <w:r>
        <w:t xml:space="preserve">. The key difference is </w:t>
      </w:r>
      <w:r>
        <w:lastRenderedPageBreak/>
        <w:t>CIPCODE and CREDLEV. They vary across the clusters, which is seen in the heatmap and the scatter plot</w:t>
      </w:r>
      <w:r w:rsidR="00DB4A14">
        <w:t xml:space="preserve">. </w:t>
      </w:r>
      <w:r w:rsidR="00F5280D">
        <w:t>T</w:t>
      </w:r>
      <w:r w:rsidR="00DB4A14">
        <w:t xml:space="preserve">he </w:t>
      </w:r>
      <w:r>
        <w:t>PCA plot</w:t>
      </w:r>
      <w:r w:rsidR="00F5280D">
        <w:t xml:space="preserve"> </w:t>
      </w:r>
      <w:r w:rsidR="00136647">
        <w:t xml:space="preserve">confirms that the clusters are well separated. This means the clustering algorithm found meaningful structure. </w:t>
      </w:r>
      <w:r w:rsidR="009A74C7">
        <w:t>Lastly,</w:t>
      </w:r>
      <w:r w:rsidR="00DB4A14">
        <w:t xml:space="preserve"> the</w:t>
      </w:r>
      <w:r w:rsidR="00AF5112">
        <w:t xml:space="preserve"> dendrogram supports this by showing that</w:t>
      </w:r>
      <w:r w:rsidR="00136647">
        <w:t xml:space="preserve"> some clusters do merge at higher distances. This shows a stronger separation between </w:t>
      </w:r>
      <w:r w:rsidR="00C90044">
        <w:t>cluster</w:t>
      </w:r>
      <w:r w:rsidR="00136647">
        <w:t xml:space="preserve"> groups.</w:t>
      </w:r>
    </w:p>
    <w:p w:rsidR="00136647" w:rsidRDefault="00C54984" w:rsidP="00487107">
      <w:pPr>
        <w:spacing w:line="480" w:lineRule="auto"/>
        <w:ind w:firstLine="720"/>
      </w:pPr>
      <w:r>
        <w:t xml:space="preserve">As for patterns, they are visible in the </w:t>
      </w:r>
      <w:r w:rsidR="00136647">
        <w:t xml:space="preserve">charts. The </w:t>
      </w:r>
      <w:r w:rsidR="00DC2149">
        <w:t>b</w:t>
      </w:r>
      <w:r w:rsidR="00136647">
        <w:t>ar height in the chart indicat</w:t>
      </w:r>
      <w:r w:rsidR="0006368B">
        <w:t>es</w:t>
      </w:r>
      <w:r w:rsidR="00136647">
        <w:t xml:space="preserve"> that cluster </w:t>
      </w:r>
      <w:r w:rsidR="00DB4A14">
        <w:t>2</w:t>
      </w:r>
      <w:r w:rsidR="00136647">
        <w:t xml:space="preserve"> is domina</w:t>
      </w:r>
      <w:r w:rsidR="0006368B">
        <w:t>nt</w:t>
      </w:r>
      <w:r w:rsidR="00136647">
        <w:t xml:space="preserve">. It has the highest bar of the graph. The height of the branches in the dendrogram shows which clusters are more or less similar, though it is probably one of the harder charts to understand at first. Color intensity on the heatmap shows which features vary and which do not. The PCA plot shows distinct points of separation with the clusters. </w:t>
      </w:r>
      <w:r w:rsidR="00E96ECF">
        <w:t>In regards to the</w:t>
      </w:r>
      <w:r w:rsidR="00136647">
        <w:t xml:space="preserve"> horizontal bands </w:t>
      </w:r>
      <w:r w:rsidR="00E96ECF">
        <w:t>for</w:t>
      </w:r>
      <w:r w:rsidR="00136647">
        <w:t xml:space="preserve"> CIPCODE vs CREDLEV in the scatter plot</w:t>
      </w:r>
      <w:r>
        <w:t xml:space="preserve">, </w:t>
      </w:r>
      <w:r w:rsidR="00E96ECF">
        <w:t>we see</w:t>
      </w:r>
      <w:r w:rsidR="00136647">
        <w:t xml:space="preserve"> that CREDLEV is discrete and cluster-linked. Lastly, there’s the line slope in the trend chart. It </w:t>
      </w:r>
      <w:r w:rsidR="00DB4A14">
        <w:t xml:space="preserve">clearly </w:t>
      </w:r>
      <w:r w:rsidR="00136647">
        <w:t xml:space="preserve">shows </w:t>
      </w:r>
      <w:r w:rsidR="00DB4A14">
        <w:t>the</w:t>
      </w:r>
      <w:r w:rsidR="00136647">
        <w:t xml:space="preserve"> dip </w:t>
      </w:r>
      <w:r w:rsidR="00CD3028">
        <w:t>in</w:t>
      </w:r>
      <w:r w:rsidR="00136647">
        <w:t xml:space="preserve"> cluster </w:t>
      </w:r>
      <w:r w:rsidR="00DB4A14">
        <w:t>2</w:t>
      </w:r>
      <w:r w:rsidR="00136647">
        <w:t xml:space="preserve">. These visual elements </w:t>
      </w:r>
      <w:r w:rsidR="00B63FB9">
        <w:t>support the conclusions above</w:t>
      </w:r>
      <w:r w:rsidR="00136647">
        <w:t>.</w:t>
      </w:r>
    </w:p>
    <w:p w:rsidR="00487107" w:rsidRPr="004A6535" w:rsidRDefault="00C54984" w:rsidP="00136647">
      <w:pPr>
        <w:spacing w:line="480" w:lineRule="auto"/>
        <w:ind w:firstLine="720"/>
      </w:pPr>
      <w:r>
        <w:t>In the end, each visual shows us different parts. A</w:t>
      </w:r>
      <w:r w:rsidR="00136647">
        <w:t xml:space="preserve"> bar chart lets us compare cluster sizes to see who has the largest number. The </w:t>
      </w:r>
      <w:r w:rsidR="00DB4A14">
        <w:t>d</w:t>
      </w:r>
      <w:r w:rsidR="00136647">
        <w:t xml:space="preserve">endrogram shows merging distances and hierarchical relationships among those clusters. The heatmap lets us compare features across the clusters. The PCA scatter plot lets us visualize cluster separation as a way to reduce dimension. The regular scatter plot shows us how </w:t>
      </w:r>
      <w:r>
        <w:t>two</w:t>
      </w:r>
      <w:r w:rsidR="00136647">
        <w:t xml:space="preserve"> features relate within the clusters. The line chart shows how MAIN changes across clusters. These choices </w:t>
      </w:r>
      <w:r w:rsidR="002232F3">
        <w:t>support</w:t>
      </w:r>
      <w:r w:rsidR="00DC2149">
        <w:t xml:space="preserve"> indicate clarity by using</w:t>
      </w:r>
      <w:r w:rsidR="00136647">
        <w:t xml:space="preserve"> distinct colors, consistent </w:t>
      </w:r>
      <w:r w:rsidR="00DC2149">
        <w:t>labels</w:t>
      </w:r>
      <w:r w:rsidR="00136647">
        <w:t xml:space="preserve">, </w:t>
      </w:r>
      <w:r w:rsidR="00CF2313">
        <w:t>highlighted variation</w:t>
      </w:r>
      <w:r w:rsidR="00136647">
        <w:t xml:space="preserve">, </w:t>
      </w:r>
      <w:r w:rsidR="00CF2313">
        <w:t>captured variance</w:t>
      </w:r>
      <w:r w:rsidR="00136647">
        <w:t xml:space="preserve">, and </w:t>
      </w:r>
      <w:r w:rsidR="00DC2149">
        <w:t>straightforward comparisons</w:t>
      </w:r>
      <w:r w:rsidR="00136647">
        <w:t>. These features all work together to give a better understanding of the visuals and data we’re analyzing.</w:t>
      </w:r>
    </w:p>
    <w:sectPr w:rsidR="00487107" w:rsidRPr="004A6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817745"/>
    <w:multiLevelType w:val="hybridMultilevel"/>
    <w:tmpl w:val="0CCEBB72"/>
    <w:lvl w:ilvl="0" w:tplc="27AC3BFE">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9897D22"/>
    <w:multiLevelType w:val="hybridMultilevel"/>
    <w:tmpl w:val="09F8E314"/>
    <w:lvl w:ilvl="0" w:tplc="A9CC7F66">
      <w:start w:val="30"/>
      <w:numFmt w:val="bullet"/>
      <w:lvlText w:val=""/>
      <w:lvlJc w:val="left"/>
      <w:pPr>
        <w:ind w:left="720" w:hanging="360"/>
      </w:pPr>
      <w:rPr>
        <w:rFonts w:ascii="Symbol" w:eastAsiaTheme="minorEastAsia"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945940">
    <w:abstractNumId w:val="1"/>
  </w:num>
  <w:num w:numId="2" w16cid:durableId="186836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9A"/>
    <w:rsid w:val="00011BDF"/>
    <w:rsid w:val="0006368B"/>
    <w:rsid w:val="000F3B55"/>
    <w:rsid w:val="00120B6B"/>
    <w:rsid w:val="00136647"/>
    <w:rsid w:val="001A1FC0"/>
    <w:rsid w:val="001E5C7C"/>
    <w:rsid w:val="002232F3"/>
    <w:rsid w:val="002904CA"/>
    <w:rsid w:val="002A2F01"/>
    <w:rsid w:val="002D5CFB"/>
    <w:rsid w:val="00311CDE"/>
    <w:rsid w:val="00334B50"/>
    <w:rsid w:val="00357FCC"/>
    <w:rsid w:val="003924FE"/>
    <w:rsid w:val="003D317E"/>
    <w:rsid w:val="003F6B36"/>
    <w:rsid w:val="004570DA"/>
    <w:rsid w:val="00477F64"/>
    <w:rsid w:val="004870E1"/>
    <w:rsid w:val="00487107"/>
    <w:rsid w:val="004A6535"/>
    <w:rsid w:val="00512392"/>
    <w:rsid w:val="00526C66"/>
    <w:rsid w:val="00543E5C"/>
    <w:rsid w:val="005A0E5B"/>
    <w:rsid w:val="005A4DA9"/>
    <w:rsid w:val="005E4FF1"/>
    <w:rsid w:val="00610CEC"/>
    <w:rsid w:val="006803D3"/>
    <w:rsid w:val="006D459A"/>
    <w:rsid w:val="006F7FAB"/>
    <w:rsid w:val="0081666E"/>
    <w:rsid w:val="008F7340"/>
    <w:rsid w:val="00910A96"/>
    <w:rsid w:val="00921368"/>
    <w:rsid w:val="009A74C7"/>
    <w:rsid w:val="009F1A79"/>
    <w:rsid w:val="00A5007E"/>
    <w:rsid w:val="00AB27A2"/>
    <w:rsid w:val="00AF5112"/>
    <w:rsid w:val="00AF58F7"/>
    <w:rsid w:val="00B37995"/>
    <w:rsid w:val="00B45296"/>
    <w:rsid w:val="00B63FB9"/>
    <w:rsid w:val="00B71A64"/>
    <w:rsid w:val="00BB43A7"/>
    <w:rsid w:val="00C16ABC"/>
    <w:rsid w:val="00C54984"/>
    <w:rsid w:val="00C87ED2"/>
    <w:rsid w:val="00C90044"/>
    <w:rsid w:val="00CD3028"/>
    <w:rsid w:val="00CE11EE"/>
    <w:rsid w:val="00CF2313"/>
    <w:rsid w:val="00D34FF9"/>
    <w:rsid w:val="00DB4A14"/>
    <w:rsid w:val="00DC2149"/>
    <w:rsid w:val="00E96ECF"/>
    <w:rsid w:val="00EB5813"/>
    <w:rsid w:val="00F528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CFB6BA"/>
  <w15:chartTrackingRefBased/>
  <w15:docId w15:val="{C9707C65-F3A8-F94D-81DE-1DE089F5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table" w:styleId="TableGrid">
    <w:name w:val="Table Grid"/>
    <w:basedOn w:val="TableNormal"/>
    <w:uiPriority w:val="39"/>
    <w:rsid w:val="0033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46</cp:revision>
  <dcterms:created xsi:type="dcterms:W3CDTF">2026-02-22T07:07:00Z</dcterms:created>
  <dcterms:modified xsi:type="dcterms:W3CDTF">2026-03-05T19:13:00Z</dcterms:modified>
</cp:coreProperties>
</file>