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Yocelyn Samantha Pérez-Dávila</w:t>
      </w:r>
    </w:p>
    <w:p>
      <w:pPr>
        <w:tabs>
          <w:tab w:val="left" w:pos="2200"/>
          <w:tab w:val="left" w:pos="5400"/>
        </w:tabs>
        <w:spacing w:before="0" w:after="1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424-249-2879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  ·  samanthapdavila@gmail.com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  ·  </w:t>
      </w:r>
      <w:hyperlink w:history="1" r:id="rIdwocshika9px6fams1wtsj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linkedin.com/in/samantha-perez-davila</w:t>
        </w:r>
      </w:hyperlink>
    </w:p>
    <w:p>
      <w:pPr>
        <w:pBdr>
          <w:bottom w:val="single" w:color="1F4E79" w:sz="12" w:space="1"/>
        </w:pBdr>
        <w:spacing w:before="0" w:after="0"/>
      </w:pPr>
      <w:r>
        <w:t xml:space="preserve"/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RESEARCH INTERESTS</w:t>
      </w:r>
    </w:p>
    <w:p>
      <w:pPr>
        <w:spacing w:before="60" w:after="12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Drug policy and illicit markets · Organized crime and violence in Latin America · Program evaluation and monitoring &amp; evaluation methodology · Labor markets and social protection in LAC · Policing, incarceration, and reentry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EDUCATION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Ph.D., Policy Analysis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Expected June 2026</w:t>
      </w:r>
    </w:p>
    <w:p>
      <w:pPr>
        <w:spacing w:before="0" w:after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0"/>
          <w:szCs w:val="20"/>
        </w:rPr>
        <w:t xml:space="preserve">Pardee RAND Graduate School  ·  Santa Monica, CA</w:t>
      </w:r>
    </w:p>
    <w:p>
      <w:pPr>
        <w:spacing w:before="20"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Dissertation: Three Essays on Illegal Cannabis Markets</w:t>
      </w:r>
    </w:p>
    <w:p>
      <w:pPr>
        <w:tabs>
          <w:tab w:val="right" w:pos="9026"/>
        </w:tabs>
        <w:spacing w:before="100"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M.Phil., Policy Analysis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June 2024</w:t>
      </w:r>
    </w:p>
    <w:p>
      <w:pPr>
        <w:spacing w:before="0"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0"/>
          <w:szCs w:val="20"/>
        </w:rPr>
        <w:t xml:space="preserve">Pardee RAND Graduate School  ·  Santa Monica, CA</w:t>
      </w:r>
    </w:p>
    <w:p>
      <w:pPr>
        <w:tabs>
          <w:tab w:val="right" w:pos="9026"/>
        </w:tabs>
        <w:spacing w:before="100"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M.Sc., Applied Economics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May 2013</w:t>
      </w:r>
    </w:p>
    <w:p>
      <w:pPr>
        <w:spacing w:before="0"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0"/>
          <w:szCs w:val="20"/>
        </w:rPr>
        <w:t xml:space="preserve">The Johns Hopkins University  ·  Washington, DC</w:t>
      </w:r>
    </w:p>
    <w:p>
      <w:pPr>
        <w:tabs>
          <w:tab w:val="right" w:pos="9026"/>
        </w:tabs>
        <w:spacing w:before="100"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B.Sc. (Honors), Economics and Finance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June 2010</w:t>
      </w:r>
    </w:p>
    <w:p>
      <w:pPr>
        <w:spacing w:before="0"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0"/>
          <w:szCs w:val="20"/>
        </w:rPr>
        <w:t xml:space="preserve">School of Banking and Commerce  ·  Mexico City, Mexico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ACADEMIC &amp; RESEARCH POSITIONS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tabs>
          <w:tab w:val="right" w:pos="9026"/>
        </w:tabs>
        <w:spacing w:before="160"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Assistant Policy Researcher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RAND Corporation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Santa Monica, CA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Oct 2021 – Present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Lead original research on illegal cannabis markets in California and Mexico, including market size estimation, supply chain analysis, and policy implications.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Co-authored peer-reviewed study on opioid consumption rates (Caulkins et al., 2025, American Journal of Drug and Alcohol Abuse); contributed to WPS-focused cross-border disaster response case study.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Designed and implemented Spanish-language field surveys and semi-structured interviews targeting Hispanic communities in California and Puerto Rico; managed mixed-methods data pipelines (R/Stata, Dedoose, ArcGIS).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Contributed to research projects on synthetic opioid markets, firearm policy, mental health in the California Hispanic community, and the Women, Peace and Security program.</w:t>
      </w:r>
    </w:p>
    <w:p>
      <w:pPr>
        <w:tabs>
          <w:tab w:val="right" w:pos="9026"/>
        </w:tabs>
        <w:spacing w:before="160"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Research Fellow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Niskanen Center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/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Nov 2025 – Present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Conduct independent research on drug policy, incarceration reentry, and the effects of policing on crime, with a focus on policy-relevant outcomes for marginalized communities.</w:t>
      </w:r>
    </w:p>
    <w:p>
      <w:pPr>
        <w:tabs>
          <w:tab w:val="right" w:pos="9026"/>
        </w:tabs>
        <w:spacing w:before="160"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Executive Coordinator, Researcher &amp; Professor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CIDE Drug Policy Program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Aguascalientes, Mexico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Dec 2018 – Sep 2021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Directed research on drug policy, organized crime, violence, and illicit markets; authored peer-reviewed articles, policy briefs, and book chapters.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Managed a 10-person research and administrative team; oversaw grants, budgets, and deliverables for the Drug Policy Program.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Coordinated the annual Diploma on Drug Policy, Health and Human Rights (2019–2021); approximately 120 students per cohort.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Taught Public Economics (undergraduate) and Evaluation Methodologies for Drug Policies (diploma program).</w:t>
      </w:r>
    </w:p>
    <w:p>
      <w:pPr>
        <w:tabs>
          <w:tab w:val="right" w:pos="9026"/>
        </w:tabs>
        <w:spacing w:before="160"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Research Assistant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CIDE Drug Policy Program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Aguascalientes, Mexico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Mar – Jul 2014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Conducted research on drug policy, organized crime, and illicit markets; performed data cleaning and integration for large-scale datasets.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OTHER PROFESSIONAL EXPERIENCE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tabs>
          <w:tab w:val="right" w:pos="9026"/>
        </w:tabs>
        <w:spacing w:before="160"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Independent M&amp;E Consultant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Various clients (IDB-financed programs)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LAC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Jan 2017 – Present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Designed ex-ante cost-benefit analyses, results matrices, baseline studies, and data collection protocols for skills, trade facilitation, and social programs across Panama, Suriname, Jamaica, Belize, The Bahamas, Honduras, and Haiti.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Supported executing units with supervision missions, standardized M&amp;E templates, and reporting; delivered training on data quality and dashboard use.</w:t>
      </w:r>
    </w:p>
    <w:p>
      <w:pPr>
        <w:tabs>
          <w:tab w:val="right" w:pos="9026"/>
        </w:tabs>
        <w:spacing w:before="160"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Labor Markets &amp; Social Security Specialist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Inter-American Development Bank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Washington, DC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May 2015 – Dec 2016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Conducted research on LAC labor markets and social security systems; advised on policy reform in the Dominican Republic and The Bahamas.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Managed technical consultancies: drafted TORs, led selection and hiring processes, and monitored deliverables.</w:t>
      </w:r>
    </w:p>
    <w:p>
      <w:pPr>
        <w:tabs>
          <w:tab w:val="right" w:pos="9026"/>
        </w:tabs>
        <w:spacing w:before="160"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Strategic Monitoring Analyst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Inter-American Development Bank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Washington, DC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Apr 2013 – May 2015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Designed and implemented institutional perception surveys; produced management reports; contributed to IDB's development effectiveness strategy update.</w:t>
      </w:r>
    </w:p>
    <w:p>
      <w:pPr>
        <w:tabs>
          <w:tab w:val="right" w:pos="9026"/>
        </w:tabs>
        <w:spacing w:before="160"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Learning &amp; Knowledge Management Analyst / Training Coordinator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Inter-American Development Bank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Washington, DC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Aug 2010 – Apr 2013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Coordinated a training program on project management standards for government officials across LAC; facilitated workshops on development indicators and operational planning.</w:t>
      </w:r>
    </w:p>
    <w:p>
      <w:pPr>
        <w:tabs>
          <w:tab w:val="right" w:pos="9026"/>
        </w:tabs>
        <w:spacing w:before="160"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Fiscal &amp; Municipal Management Analyst / Intern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Inter-American Development Bank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Mexico City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Jul 2008 – Aug 2010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Supported supervision and operational management of social investment projects including Conditional Cash Transfer programs; managed bidding processes for consulting firms.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PEER-REVIEWED PUBLICATIONS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sz w:val="20"/>
          <w:szCs w:val="20"/>
        </w:rPr>
        <w:t xml:space="preserve">Perez, L.G., Seelam, R., Cohen, D.A., Han, B., Castro, G., Arredondo, E., Pérez-Dávila, S., &amp; Derose, K.P. (Accepted).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Multilevel predictors of intervention uptake and post-intervention physical activity behaviors: Results from a faith-based multilevel physical activity intervention for Latino adults. </w:t>
      </w:r>
      <w:r>
        <w:rPr>
          <w:rFonts w:ascii="Calibri" w:cs="Calibri" w:eastAsia="Calibri" w:hAnsi="Calibri"/>
          <w:sz w:val="20"/>
          <w:szCs w:val="20"/>
        </w:rPr>
        <w:t xml:space="preserve">Journal of Physical Activity and Health.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sz w:val="20"/>
          <w:szCs w:val="20"/>
        </w:rPr>
        <w:t xml:space="preserve">Caulkins, J.P., Pérez-Dávila, S., Kilmer, B., Poser, J., &amp; Reuter, P. (2025).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Historical and Contextual Variation in Daily Opioid Consumption Rates: Implications for Supply Control, Service Delivery, and Research. </w:t>
      </w:r>
      <w:r>
        <w:rPr>
          <w:rFonts w:ascii="Calibri" w:cs="Calibri" w:eastAsia="Calibri" w:hAnsi="Calibri"/>
          <w:sz w:val="20"/>
          <w:szCs w:val="20"/>
        </w:rPr>
        <w:t xml:space="preserve">The American Journal of Drug and Alcohol Abuse, 51(5), 539–562. doi.org/10.1080/00952990.2025.2504147.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sz w:val="20"/>
          <w:szCs w:val="20"/>
        </w:rPr>
        <w:t xml:space="preserve">Uscher-Pines, L., Kapinos, K., Rodriguez, C., Pérez-Dávila, S., et al. (2023).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Access challenges for patients with limited English proficiency: a secret-shopper study of in-person and telehealth behavioral health services in California safety-net clinics. </w:t>
      </w:r>
      <w:r>
        <w:rPr>
          <w:rFonts w:ascii="Calibri" w:cs="Calibri" w:eastAsia="Calibri" w:hAnsi="Calibri"/>
          <w:sz w:val="20"/>
          <w:szCs w:val="20"/>
        </w:rPr>
        <w:t xml:space="preserve">Health Affairs Scholar, 1(3). doi: 10.1093/haschl/qxad033.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sz w:val="20"/>
          <w:szCs w:val="20"/>
        </w:rPr>
        <w:t xml:space="preserve">Kilmer, B., &amp; Pérez-Dávila, S. (2023).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Nine Insights from Ten Years of Legal Cannabis for Nonmedical Purposes. </w:t>
      </w:r>
      <w:r>
        <w:rPr>
          <w:rFonts w:ascii="Calibri" w:cs="Calibri" w:eastAsia="Calibri" w:hAnsi="Calibri"/>
          <w:sz w:val="20"/>
          <w:szCs w:val="20"/>
        </w:rPr>
        <w:t xml:space="preserve">Clinical Therapeutics.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sz w:val="20"/>
          <w:szCs w:val="20"/>
        </w:rPr>
        <w:t xml:space="preserve">Atuesta, L.H., &amp; Pérez-Dávila, S. (2017).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Fragmentation and Cooperation: The Evolution of Organized Crime in Mexico. </w:t>
      </w:r>
      <w:r>
        <w:rPr>
          <w:rFonts w:ascii="Calibri" w:cs="Calibri" w:eastAsia="Calibri" w:hAnsi="Calibri"/>
          <w:sz w:val="20"/>
          <w:szCs w:val="20"/>
        </w:rPr>
        <w:t xml:space="preserve">Trends in Organized Crime, 1–27. doi:10.1007/s12117-017-9301-z.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RESEARCH REPORTS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sz w:val="20"/>
          <w:szCs w:val="20"/>
        </w:rPr>
        <w:t xml:space="preserve">Chindea, I., Fleming, J., Pérez-Dávila, S., &amp; Thompson, N. (2024).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Applying Women, Peace, and Security Considerations to a Cross-Border Disaster Response: A Mexico Case Study. </w:t>
      </w:r>
      <w:r>
        <w:rPr>
          <w:rFonts w:ascii="Calibri" w:cs="Calibri" w:eastAsia="Calibri" w:hAnsi="Calibri"/>
          <w:sz w:val="20"/>
          <w:szCs w:val="20"/>
        </w:rPr>
        <w:t xml:space="preserve">RAND Corporation, DRR-A2438-2.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sz w:val="20"/>
          <w:szCs w:val="20"/>
        </w:rPr>
        <w:t xml:space="preserve">Atuesta, L.H., Pérez-Dávila, S., &amp; Lara Ramírez, M. (2023).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Base de datos sobre notas periodísticas acerca de violencia criminal en México. </w:t>
      </w:r>
      <w:r>
        <w:rPr>
          <w:rFonts w:ascii="Calibri" w:cs="Calibri" w:eastAsia="Calibri" w:hAnsi="Calibri"/>
          <w:sz w:val="20"/>
          <w:szCs w:val="20"/>
        </w:rPr>
        <w:t xml:space="preserve">CIDE.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sz w:val="20"/>
          <w:szCs w:val="20"/>
        </w:rPr>
        <w:t xml:space="preserve">Atuesta, L.H., &amp; Pérez-Dávila, S. (2021).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Presencia de los grupos criminales y de las fuerzas de seguridad en el contexto de la pandemia por COVID-19. </w:t>
      </w:r>
      <w:r>
        <w:rPr>
          <w:rFonts w:ascii="Calibri" w:cs="Calibri" w:eastAsia="Calibri" w:hAnsi="Calibri"/>
          <w:sz w:val="20"/>
          <w:szCs w:val="20"/>
        </w:rPr>
        <w:t xml:space="preserve">CIDE.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sz w:val="20"/>
          <w:szCs w:val="20"/>
        </w:rPr>
        <w:t xml:space="preserve">Pérez-Dávila, S. (2020).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El crimen organizado y la violencia en San Luis Potosí. </w:t>
      </w:r>
      <w:r>
        <w:rPr>
          <w:rFonts w:ascii="Calibri" w:cs="Calibri" w:eastAsia="Calibri" w:hAnsi="Calibri"/>
          <w:sz w:val="20"/>
          <w:szCs w:val="20"/>
        </w:rPr>
        <w:t xml:space="preserve">In Los costos del punitivismo. CIDE.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sz w:val="20"/>
          <w:szCs w:val="20"/>
        </w:rPr>
        <w:t xml:space="preserve">Novella, R., &amp; Pérez-Dávila, S. (2017).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Are Apprenticeships Programs Effective? Lessons for Latin America and the Caribbean. </w:t>
      </w:r>
      <w:r>
        <w:rPr>
          <w:rFonts w:ascii="Calibri" w:cs="Calibri" w:eastAsia="Calibri" w:hAnsi="Calibri"/>
          <w:sz w:val="20"/>
          <w:szCs w:val="20"/>
        </w:rPr>
        <w:t xml:space="preserve">IDB Publications.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OTHER PUBLICATIONS &amp; MEDIA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Pérez-Dávila, S. &amp; Pérez-Ricart, C. (2021). Efectos de covid-19 en el mercado de drogas en México. Revista Nexos.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Pérez-Dávila, S. &amp; Pocoroba, A. (2021). El combate a la delincuencia organizada durante el último año. Revista Nexos.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Pérez-Dávila, S. (2021). Más allá del tráfico de drogas: la diversificación del crimen organizado. Revista Nexos.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Editor, Paz y Seguridad blog, Revista Nexos (2022–Present).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TEACHING EXPERIENCE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spacing w:before="120"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Pardee RAND Graduate School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Teaching Assistant, Advanced Statistics — Spring 2023</w:t>
      </w:r>
    </w:p>
    <w:p>
      <w:pPr>
        <w:spacing w:before="120"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Center for Research and Teaching in Economics (CIDE)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Public Economics (undergraduate) — Fall 2019 &amp; Fall 2020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Evaluation Methodologies for Drug Policies, Drug Policy Diploma — January 2020 &amp; January 2021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Cannabis Policy in the United States, Drug Policy Diploma — January 2023 &amp; January 2024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CONFERENCE PRESENTATIONS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"Estimación del consumo y gasto en la cannabis en México." III Conferencia REDESDAL, Bogotá, Colombia, October 2025.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"Estimation of the Mexican Cannabis Market." International Society for the Study of Drug Policy, Manchester, UK, June 2025.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"Farewell my dear dealer? Characterization of the illegal cannabis market in California." International Society for the Study of Drug Policy, Leuven, Belgium, May–June 2023.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"Characterizing the legal and illegal cannabis market in California." UCLA Center for Cannabis &amp; Cannabinoids Symposium, Santa Monica, CA, October 2022.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"Mapeando la expansión de grupos del crimen organizado en el estado mexicano de San Luis Potosí." Latin American Studies Association (LASA), Virtual Congress, May 2022.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PROFESSIONAL SERVICE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spacing w:before="100"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Ad-hoc Peer Reviewer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Clinical Therapeutics (2024)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International Journal of Drug Policy (2023)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SELECTED APPLIED PROJECTS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Puerto Rico Alzheimer Study (RAND, 2025)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Family Wellness Program evaluation (RAND, 2024–2025)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Parks and Parishes program evaluation (RAND, 2023–2025)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Identifying the effects of firearms policies (RAND, 2022–2025)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Telehealth behavioral health services in California safety-net clinics (RAND, 2023)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Skills Development for the Global Services Sector – M&amp;E plan, CBA, PCR (IDB/Jamaica, 2023–2024)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Trade and Investment Facilitation Program for Belize – M&amp;E (IDB, 2022)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Private Sector Development via Foreign Investment – M&amp;E plan, CBA, PCR (IDB/Haiti, 2019–2021)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Program to Support Productive Development via Human Capital – M&amp;E plan, CBA (IDB/Panama, 2018)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cs="Calibri" w:eastAsia="Calibri" w:hAnsi="Calibri"/>
          <w:sz w:val="20"/>
          <w:szCs w:val="20"/>
        </w:rPr>
        <w:t xml:space="preserve">Apprenticeship Program evaluation (IDB/Mexico, 2025)</w:t>
      </w:r>
    </w:p>
    <w:p>
      <w:pPr>
        <w:spacing w:before="240" w:after="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SKILLS &amp; LANGUAGES</w:t>
      </w:r>
    </w:p>
    <w:p>
      <w:pPr>
        <w:pBdr>
          <w:bottom w:val="single" w:color="BDD7EE" w:sz="6" w:space="1"/>
        </w:pBdr>
        <w:spacing w:before="0" w:after="0"/>
      </w:pPr>
      <w:r>
        <w:t xml:space="preserve"/>
      </w:r>
    </w:p>
    <w:p>
      <w:pPr>
        <w:tabs>
          <w:tab w:val="left" w:pos="1800"/>
        </w:tabs>
        <w:spacing w:before="100"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Methods:</w:t>
      </w:r>
      <w:r>
        <w:rPr>
          <w:rFonts w:ascii="Calibri" w:cs="Calibri" w:eastAsia="Calibri" w:hAnsi="Calibri"/>
          <w:sz w:val="20"/>
          <w:szCs w:val="20"/>
        </w:rPr>
        <w:t xml:space="preserve">	Difference-in-differences, cost-benefit analysis, mixed-methods, field surveys, semi-structured interviews, results-based management, indicator design</w:t>
      </w:r>
    </w:p>
    <w:p>
      <w:pPr>
        <w:tabs>
          <w:tab w:val="left" w:pos="1800"/>
        </w:tabs>
        <w:spacing w:before="60"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</w:t>
      </w:r>
      <w:r>
        <w:rPr>
          <w:rFonts w:ascii="Calibri" w:cs="Calibri" w:eastAsia="Calibri" w:hAnsi="Calibri"/>
          <w:sz w:val="20"/>
          <w:szCs w:val="20"/>
        </w:rPr>
        <w:t xml:space="preserve">	R, Stata, ArcGIS, Dedoose</w:t>
      </w:r>
    </w:p>
    <w:p>
      <w:pPr>
        <w:tabs>
          <w:tab w:val="left" w:pos="1800"/>
        </w:tabs>
        <w:spacing w:before="60"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</w:t>
      </w:r>
      <w:r>
        <w:rPr>
          <w:rFonts w:ascii="Calibri" w:cs="Calibri" w:eastAsia="Calibri" w:hAnsi="Calibri"/>
          <w:sz w:val="20"/>
          <w:szCs w:val="20"/>
        </w:rPr>
        <w:t xml:space="preserve">	Spanish (native), English (proficient), French (working proficiency)</w:t>
      </w:r>
    </w:p>
    <w:p>
      <w:pPr>
        <w:tabs>
          <w:tab w:val="left" w:pos="1800"/>
        </w:tabs>
        <w:spacing w:before="60"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Regional:</w:t>
      </w:r>
      <w:r>
        <w:rPr>
          <w:rFonts w:ascii="Calibri" w:cs="Calibri" w:eastAsia="Calibri" w:hAnsi="Calibri"/>
          <w:sz w:val="20"/>
          <w:szCs w:val="20"/>
        </w:rPr>
        <w:t xml:space="preserve">	Mexico, United States, Caribbean, Central America, South America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wocshika9px6fams1wtsj" Type="http://schemas.openxmlformats.org/officeDocument/2006/relationships/hyperlink" Target="https://www.linkedin.com/in/samantha-perez-davila/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2026-03-07T00:04:04.518Z</dcterms:created>
  <dcterms:modified xsi:type="dcterms:W3CDTF">2026-03-07T00:04:04.519Z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