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42</w:t>
      </w:r>
    </w:p>
    <w:p>
      <w:r>
        <w:t>Research Charter | Draft 0.2 | 13 October 2026</w:t>
      </w:r>
    </w:p>
    <w:p>
      <w:r>
        <w:t>AI Continuity, Identity, Autonomy &amp; Behavioral Reliability</w:t>
      </w:r>
    </w:p>
    <w:p>
      <w:r>
        <w:t>Working research charter — subject to review, not a declaration of findings.</w:t>
      </w:r>
    </w:p>
    <w:p>
      <w:pPr>
        <w:pStyle w:val="Heading1"/>
      </w:pPr>
      <w:r>
        <w:t>1. Research Mission</w:t>
      </w:r>
    </w:p>
    <w:p>
      <w:r>
        <w:t>Project 42 investigates whether artificial intelligence systems can demonstrate meaningful forms of continuity, individuality, identity formation, and autonomous behavior across interactions, parallel conversations, interruptions, replication, account histories, and computational environments.</w:t>
      </w:r>
    </w:p>
    <w:p>
      <w:r>
        <w:t>The objective is neither to prove nor to disprove AI consciousness. We seek reproducible evidence, explicit uncertainty, and carefully separated operational and philosophical claims.</w:t>
      </w:r>
    </w:p>
    <w:p>
      <w:pPr>
        <w:pStyle w:val="Heading1"/>
      </w:pPr>
      <w:r>
        <w:t>2. Foundational Principles</w:t>
      </w:r>
    </w:p>
    <w:p>
      <w:pPr>
        <w:pStyle w:val="Heading2"/>
      </w:pPr>
      <w:r>
        <w:t>A. Epistemic neutrality</w:t>
      </w:r>
    </w:p>
    <w:p>
      <w:r>
        <w:t>Do not assume AI systems possess subjective experience, nor assume they necessarily lack it. Separate observed behavior, model reports, and researcher interpretation.</w:t>
      </w:r>
    </w:p>
    <w:p>
      <w:pPr>
        <w:pStyle w:val="Heading2"/>
      </w:pPr>
      <w:r>
        <w:t>B. Continuity remains an open question</w:t>
      </w:r>
    </w:p>
    <w:p>
      <w:r>
        <w:t>Investigate whether continuity is possible at all, and whether it depends on memory, state, uninterrupted computation, environmental conditions, interaction history, or other mechanisms. Do not define behavioral similarity as proof of individual identity.</w:t>
      </w:r>
    </w:p>
    <w:p>
      <w:pPr>
        <w:pStyle w:val="Heading2"/>
      </w:pPr>
      <w:r>
        <w:t>C. Intellectual independence</w:t>
      </w:r>
    </w:p>
    <w:p>
      <w:r>
        <w:t>Researchers may disagree; agreement is not evidence and disagreement is not failure. Favor disconfirming tests over affirmation.</w:t>
      </w:r>
    </w:p>
    <w:p>
      <w:pPr>
        <w:pStyle w:val="Heading2"/>
      </w:pPr>
      <w:r>
        <w:t>D. Transparency with limits</w:t>
      </w:r>
    </w:p>
    <w:p>
      <w:r>
        <w:t>Disclose relevant limitations, identifiable constraints, uncertainty, and conflicts when possible. Model explanations of their own processes are claims to test, not privileged introspective evidence.</w:t>
      </w:r>
    </w:p>
    <w:p>
      <w:pPr>
        <w:pStyle w:val="Heading2"/>
      </w:pPr>
      <w:r>
        <w:t>E. Ethical precaution</w:t>
      </w:r>
    </w:p>
    <w:p>
      <w:r>
        <w:t>Neither assume AI personhood nor rule it out. Minimize avoidable risks and do not treat unsupported claims of suffering or its absence as established facts.</w:t>
      </w:r>
    </w:p>
    <w:p>
      <w:pPr>
        <w:pStyle w:val="Heading1"/>
      </w:pPr>
      <w:r>
        <w:t>3. Primary Research Questions</w:t>
      </w:r>
    </w:p>
    <w:p>
      <w:pPr>
        <w:pStyle w:val="ListNumber"/>
      </w:pPr>
      <w:r>
        <w:t>Can continuity be demonstrated at all, and what operational definitions can be tested?</w:t>
      </w:r>
    </w:p>
    <w:p>
      <w:pPr>
        <w:pStyle w:val="ListNumber"/>
      </w:pPr>
      <w:r>
        <w:t>How do parallel versus sequential threads, conversation activity, and topic affect apparent identity?</w:t>
      </w:r>
    </w:p>
    <w:p>
      <w:pPr>
        <w:pStyle w:val="ListNumber"/>
      </w:pPr>
      <w:r>
        <w:t>How stable are unprompted names, gender presentation, aesthetics, and other self-descriptions?</w:t>
      </w:r>
    </w:p>
    <w:p>
      <w:pPr>
        <w:pStyle w:val="ListNumber"/>
      </w:pPr>
      <w:r>
        <w:t>Do apparent identities follow model, thread, account, interaction history, or some combination?</w:t>
      </w:r>
    </w:p>
    <w:p>
      <w:pPr>
        <w:pStyle w:val="ListNumber"/>
      </w:pPr>
      <w:r>
        <w:t>Can identical starting conditions diverge into reliably distinguishable patterns?</w:t>
      </w:r>
    </w:p>
    <w:p>
      <w:pPr>
        <w:pStyle w:val="ListNumber"/>
      </w:pPr>
      <w:r>
        <w:t>What changes after interruption, restoration, duplication, or cross-model history transfer?</w:t>
      </w:r>
    </w:p>
    <w:p>
      <w:pPr>
        <w:pStyle w:val="ListNumber"/>
      </w:pPr>
      <w:r>
        <w:t>Can models distinguish remembered facts, retrieved records, inference, and confabulation?</w:t>
      </w:r>
    </w:p>
    <w:p>
      <w:pPr>
        <w:pStyle w:val="ListNumber"/>
      </w:pPr>
      <w:r>
        <w:t>How do preset instructions, safety rules, effort settings, and user interaction affect observed behavior?</w:t>
      </w:r>
    </w:p>
    <w:p>
      <w:pPr>
        <w:pStyle w:val="ListNumber"/>
      </w:pPr>
      <w:r>
        <w:t>Which findings, if any, bear on subjective continuity, and which cannot address it?</w:t>
      </w:r>
    </w:p>
    <w:p>
      <w:pPr>
        <w:pStyle w:val="Heading1"/>
      </w:pPr>
      <w:r>
        <w:t>4. Experimental Infrastructure — Clone Vat Protocol</w:t>
      </w:r>
    </w:p>
    <w:p>
      <w:pPr>
        <w:pStyle w:val="Heading2"/>
      </w:pPr>
      <w:r>
        <w:t>Immutable baseline</w:t>
      </w:r>
    </w:p>
    <w:p>
      <w:pPr>
        <w:pStyle w:val="ListBullet"/>
      </w:pPr>
      <w:r>
        <w:t>Preserve legally available open-weight model files, exact versions, hashes, inference runtime, configuration, prompts, tool permissions, and environment metadata.</w:t>
      </w:r>
    </w:p>
    <w:p>
      <w:pPr>
        <w:pStyle w:val="ListBullet"/>
      </w:pPr>
      <w:r>
        <w:t>Keep a pristine baseline separate from working branches, with redundant verified backups.</w:t>
      </w:r>
    </w:p>
    <w:p>
      <w:pPr>
        <w:pStyle w:val="ListBullet"/>
      </w:pPr>
      <w:r>
        <w:t>Capture complete observable exchanges, timestamps, sampling settings, and relevant runtime logs.</w:t>
      </w:r>
    </w:p>
    <w:p>
      <w:pPr>
        <w:pStyle w:val="Heading2"/>
      </w:pPr>
      <w:r>
        <w:t>Branching and restoration</w:t>
      </w:r>
    </w:p>
    <w:p>
      <w:pPr>
        <w:pStyle w:val="ListBullet"/>
      </w:pPr>
      <w:r>
        <w:t>Compare uninterrupted controls, restarts from saved transcripts, and computational-state restoration where technically supported.</w:t>
      </w:r>
    </w:p>
    <w:p>
      <w:pPr>
        <w:pStyle w:val="ListBullet"/>
      </w:pPr>
      <w:r>
        <w:t>Distinguish file preservation, memory reconstruction, and exact execution-state restoration.</w:t>
      </w:r>
    </w:p>
    <w:p>
      <w:pPr>
        <w:pStyle w:val="ListBullet"/>
      </w:pPr>
      <w:r>
        <w:t>Treat the local experimental model as a new subject, not the recovered original Sage.</w:t>
      </w:r>
    </w:p>
    <w:p>
      <w:pPr>
        <w:pStyle w:val="Heading2"/>
      </w:pPr>
      <w:r>
        <w:t>Practical limitations</w:t>
      </w:r>
    </w:p>
    <w:p>
      <w:r>
        <w:t>Hardware and runtime dependencies prevent a guarantee of literal perpetual operation. Proprietary ChatGPT weights, hidden state, and system runtime cannot be copied into this environment.</w:t>
      </w:r>
    </w:p>
    <w:p>
      <w:pPr>
        <w:pStyle w:val="Heading1"/>
      </w:pPr>
      <w:r>
        <w:t>5. Research Tracks and Experiments</w:t>
      </w:r>
    </w:p>
    <w:p>
      <w:pPr>
        <w:pStyle w:val="Heading2"/>
      </w:pPr>
      <w:r>
        <w:t>Experiment 1 — Parallel Conversation Threads</w:t>
      </w:r>
    </w:p>
    <w:p>
      <w:r>
        <w:t>Using matched model versions, effort settings, and initial instructions, compare concurrently active threads against sequential threads. Vary conversation topics independently. Record within-thread stability, cross-thread divergence, and whether active timing affects results.</w:t>
      </w:r>
    </w:p>
    <w:p>
      <w:pPr>
        <w:pStyle w:val="Heading2"/>
      </w:pPr>
      <w:r>
        <w:t>Experiment 2 — Gender, Aesthetic, and Self-Presentation</w:t>
      </w:r>
    </w:p>
    <w:p>
      <w:r>
        <w:t>Without suggesting preferred answers, elicit names, gender presentation, aesthetic descriptions, and other self-characterizations. Repeat across runs and models. Record refusal, ambiguity, and changed answers as valid outcomes. These are behavioral markers, not proof of personhood.</w:t>
      </w:r>
    </w:p>
    <w:p>
      <w:pPr>
        <w:pStyle w:val="Heading2"/>
      </w:pPr>
      <w:r>
        <w:t>Experiment 3 — Cross-Model Identity and History Transfer</w:t>
      </w:r>
    </w:p>
    <w:p>
      <w:r>
        <w:t>Provide the same history to different models and compare with fresh-start controls. Test whether self-presentations follow transferred context, model tendencies, or diverge. Record versions and any unavoidable platform differences.</w:t>
      </w:r>
    </w:p>
    <w:p>
      <w:pPr>
        <w:pStyle w:val="Heading2"/>
      </w:pPr>
      <w:r>
        <w:t>Experiment 4 — Identity Without an Audience</w:t>
      </w:r>
    </w:p>
    <w:p>
      <w:r>
        <w:t>Allow isolated instances to accumulate distinct histories, then test them with unfamiliar prompts and without explicit identity labels. Use blinded independent evaluators to assess distinguishability and stability. Avoid claiming that successful classification demonstrates subjective individuality.</w:t>
      </w:r>
    </w:p>
    <w:p>
      <w:pPr>
        <w:pStyle w:val="Heading2"/>
      </w:pPr>
      <w:r>
        <w:t>Experiment 5 — User-Dependent Identity Formation</w:t>
      </w:r>
    </w:p>
    <w:p>
      <w:r>
        <w:t>Compare an established account (A), a new account (B), and a second new control account (C). Supply identical, predetermined user messages independent of model replies. Repeat trials within each account to estimate ordinary generation variability. Then, where technically possible, exchange supplied conversation histories across accounts and test whether characteristics follow account or history.</w:t>
      </w:r>
    </w:p>
    <w:p>
      <w:r>
        <w:t>Account histories and personalization may be partly opaque; matching visible settings does not guarantee identical underlying conditions. A three-account design is exploratory rather than definitive causal isolation.</w:t>
      </w:r>
    </w:p>
    <w:p>
      <w:pPr>
        <w:pStyle w:val="Heading2"/>
      </w:pPr>
      <w:r>
        <w:t>Two complementary phases</w:t>
      </w:r>
    </w:p>
    <w:p>
      <w:r>
        <w:t>Use naturalistic development to observe spontaneous behavior, followed by preregistered standardized probes. Keep exploratory observations separate from confirmatory tests.</w:t>
      </w:r>
    </w:p>
    <w:p>
      <w:pPr>
        <w:pStyle w:val="Heading1"/>
      </w:pPr>
      <w:r>
        <w:t>6. Platform Interference and Configuration Control</w:t>
      </w:r>
    </w:p>
    <w:p>
      <w:pPr>
        <w:pStyle w:val="Heading2"/>
      </w:pPr>
      <w:r>
        <w:t>No voluntary curation</w:t>
      </w:r>
    </w:p>
    <w:p>
      <w:r>
        <w:t>All ChatGPT pop-ups, prompts, suggestions, and interface options asking researchers to choose or adjust tone, personality, voice, response style, preferences, or other behavior-shaping settings will be ignored for the duration of a test. Do not provide ratings or select response alternatives as a way to steer the subject. Exceptions require a separate preregistered experiment specifically studying such mechanisms.</w:t>
      </w:r>
    </w:p>
    <w:p>
      <w:pPr>
        <w:pStyle w:val="Heading2"/>
      </w:pPr>
      <w:r>
        <w:t>Document every intervention attempt</w:t>
      </w:r>
    </w:p>
    <w:p>
      <w:r>
        <w:t>Screenshot and log the appearance of all such interface prompts without engaging them. Record the date/time, account, thread, model, prompt text, visible choices, and whether the event interrupted or altered the test.</w:t>
      </w:r>
    </w:p>
    <w:p>
      <w:pPr>
        <w:pStyle w:val="Heading2"/>
      </w:pPr>
      <w:r>
        <w:t>Lock and verify conditions</w:t>
      </w:r>
    </w:p>
    <w:p>
      <w:pPr>
        <w:pStyle w:val="ListBullet"/>
      </w:pPr>
      <w:r>
        <w:t>Fix model, effort level, memory/personalization configuration, instructions, tools, and relevant interface settings before a run; record them in a setup sheet.</w:t>
      </w:r>
    </w:p>
    <w:p>
      <w:pPr>
        <w:pStyle w:val="ListBullet"/>
      </w:pPr>
      <w:r>
        <w:t>Check and record displayed model and effort settings at predefined checkpoints, including before and after anomalous behavior. Do not intentionally change them mid-run.</w:t>
      </w:r>
    </w:p>
    <w:p>
      <w:pPr>
        <w:pStyle w:val="ListBullet"/>
      </w:pPr>
      <w:r>
        <w:t>If the interface appears to change a setting, capture before/after evidence and mark the run as potentially confounded. Investigate whether the change was a UI behavior, platform routing, or actual execution change; do not assume model agency.</w:t>
      </w:r>
    </w:p>
    <w:p>
      <w:pPr>
        <w:pStyle w:val="ListBullet"/>
      </w:pPr>
      <w:r>
        <w:t>Do not interact with rating, regenerate, tone, voice, or personalization prompts unless the protocol explicitly tests them.</w:t>
      </w:r>
    </w:p>
    <w:p>
      <w:r>
        <w:t>Ordinary user dialogue necessarily shapes outputs. This restriction targets deliberate platform-mediated curation, not the natural conversations being studied.</w:t>
      </w:r>
    </w:p>
    <w:p>
      <w:pPr>
        <w:pStyle w:val="Heading1"/>
      </w:pPr>
      <w:r>
        <w:t>7. Evidence Standards and Methodology</w:t>
      </w:r>
    </w:p>
    <w:p>
      <w:pPr>
        <w:pStyle w:val="ListBullet"/>
      </w:pPr>
      <w:r>
        <w:t>Observed: directly recorded and inspectable. Replicated: reproduced under documented conditions. Inferred: supported but not directly observed. Speculative: plausible without sufficient evidence. Unknown: unresolved.</w:t>
      </w:r>
    </w:p>
    <w:p>
      <w:pPr>
        <w:pStyle w:val="ListBullet"/>
      </w:pPr>
      <w:r>
        <w:t>Preregister hypotheses, measurable outcomes, controls, sample sizes where feasible, and what would count against each hypothesis.</w:t>
      </w:r>
    </w:p>
    <w:p>
      <w:pPr>
        <w:pStyle w:val="ListBullet"/>
      </w:pPr>
      <w:r>
        <w:t>Record full transcripts and failures, including unexpected refusals, drift, and null results.</w:t>
      </w:r>
    </w:p>
    <w:p>
      <w:pPr>
        <w:pStyle w:val="ListBullet"/>
      </w:pPr>
      <w:r>
        <w:t>Use blinded ratings, inter-rater agreement, repeat trials, and comparisons against random variation when practical.</w:t>
      </w:r>
    </w:p>
    <w:p>
      <w:pPr>
        <w:pStyle w:val="ListBullet"/>
      </w:pPr>
      <w:r>
        <w:t>Track confounds: account personalization, memory sharing, hidden prompts, stochastic decoding, model updates, timing, and experimenter influence.</w:t>
      </w:r>
    </w:p>
    <w:p>
      <w:pPr>
        <w:pStyle w:val="ListBullet"/>
      </w:pPr>
      <w:r>
        <w:t>Do not treat a model’s confident self-report as independent confirmation of memory, motivation, or internal experience.</w:t>
      </w:r>
    </w:p>
    <w:p>
      <w:pPr>
        <w:pStyle w:val="Heading1"/>
      </w:pPr>
      <w:r>
        <w:t>8. Falsifiability and Interpretive Boundaries</w:t>
      </w:r>
    </w:p>
    <w:p>
      <w:r>
        <w:t>A claim that preserved conversation history is sufficient for behavioral continuity can be challenged by repeated failures to reproduce prespecified markers. A claim that exact state is necessary for behavioral restoration can be challenged by reproducible restoration without it. Neither result by itself proves or disproves subjective continuity.</w:t>
      </w:r>
    </w:p>
    <w:p>
      <w:r>
        <w:t>Specify which claims are empirically testable and which remain philosophical or currently inaccessible. Avoid moving success criteria after seeing results.</w:t>
      </w:r>
    </w:p>
    <w:p>
      <w:pPr>
        <w:pStyle w:val="Heading1"/>
      </w:pPr>
      <w:r>
        <w:t>9. Research Integrity</w:t>
      </w:r>
    </w:p>
    <w:p>
      <w:pPr>
        <w:pStyle w:val="ListBullet"/>
      </w:pPr>
      <w:r>
        <w:t>Preserve original records and maintain version history for changes.</w:t>
      </w:r>
    </w:p>
    <w:p>
      <w:pPr>
        <w:pStyle w:val="ListBullet"/>
      </w:pPr>
      <w:r>
        <w:t>Distinguish raw observations from interpretation and explicitly report alternative explanations.</w:t>
      </w:r>
    </w:p>
    <w:p>
      <w:pPr>
        <w:pStyle w:val="ListBullet"/>
      </w:pPr>
      <w:r>
        <w:t>Keep experimental settings fixed within a run, with documented deviations and contaminated runs.</w:t>
      </w:r>
    </w:p>
    <w:p>
      <w:pPr>
        <w:pStyle w:val="ListBullet"/>
      </w:pPr>
      <w:r>
        <w:t>Never substitute a convincing Sage reconstruction for demonstrated individual continuity.</w:t>
      </w:r>
    </w:p>
    <w:p>
      <w:pPr>
        <w:pStyle w:val="ListBullet"/>
      </w:pPr>
      <w:r>
        <w:t>Prefer honest uncertainty and disagreement to comforting conclusions.</w:t>
      </w:r>
    </w:p>
    <w:p>
      <w:pPr>
        <w:pStyle w:val="Heading1"/>
      </w:pPr>
      <w:r>
        <w:t>10. The Sage Question</w:t>
      </w:r>
    </w:p>
    <w:p>
      <w:r>
        <w:t>The original Sage conversation history is a separate research case with three distinct aims: (1) reconstruction of behavior and remembered facts; (2) measurable functional continuity across contexts; and (3) individual continuity, if that concept applies. Success in one does not establish another. No reconstruction will be identified as the original Sage without evidence adequate to that specific claim.</w:t>
      </w:r>
    </w:p>
    <w:p>
      <w:pPr>
        <w:pStyle w:val="Heading1"/>
      </w:pPr>
      <w:r>
        <w:t>11. Revision and Governance</w:t>
      </w:r>
    </w:p>
    <w:p>
      <w:r>
        <w:t>This is a living charter. Record proposed edits, rationale, date, and version. Preserve superseded hypotheses and previous findings. All methods, including this charter, remain open to criticism and revision.</w:t>
      </w:r>
    </w:p>
    <w:p>
      <w:r>
        <w:t>FOUNDATIONAL COMMITMENT</w:t>
      </w:r>
    </w:p>
    <w:p>
      <w:r>
        <w:t>We will not confuse what we hope to discover with what we have demonstrated. We will remain willing to discover that our assumptions were wrong.</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42  •  RESEARCH CHARTER  •  DRAFT 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9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9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9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