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E1C4E3" w14:textId="77777777" w:rsidR="00D43E3A" w:rsidRDefault="00000000">
      <w:pPr>
        <w:pStyle w:val="Title"/>
        <w:spacing w:line="254" w:lineRule="auto"/>
      </w:pPr>
      <w:r>
        <w:t>Employee Engagement and Burnout Risk Assessment Using Composite Index Modeling</w:t>
      </w:r>
      <w:r>
        <w:rPr>
          <w:spacing w:val="-18"/>
        </w:rPr>
        <w:t xml:space="preserve"> </w:t>
      </w:r>
      <w:r>
        <w:t>and</w:t>
      </w:r>
      <w:r>
        <w:rPr>
          <w:spacing w:val="-18"/>
        </w:rPr>
        <w:t xml:space="preserve"> </w:t>
      </w:r>
      <w:r>
        <w:t>Interactive Workforce Analytics</w:t>
      </w:r>
    </w:p>
    <w:p w14:paraId="244B0139" w14:textId="77777777" w:rsidR="00D43E3A" w:rsidRDefault="00D43E3A">
      <w:pPr>
        <w:pStyle w:val="BodyText"/>
        <w:spacing w:before="62"/>
        <w:rPr>
          <w:rFonts w:ascii="Arial"/>
          <w:b/>
          <w:sz w:val="36"/>
        </w:rPr>
      </w:pPr>
    </w:p>
    <w:p w14:paraId="6C7AA97E" w14:textId="77777777" w:rsidR="00D43E3A" w:rsidRDefault="00000000">
      <w:pPr>
        <w:pStyle w:val="BodyText"/>
        <w:spacing w:line="278" w:lineRule="auto"/>
        <w:ind w:left="135" w:right="51"/>
      </w:pPr>
      <w:r>
        <w:rPr>
          <w:rFonts w:ascii="Arial" w:hAnsi="Arial"/>
          <w:b/>
        </w:rPr>
        <w:t xml:space="preserve">Abstract— </w:t>
      </w:r>
      <w:r>
        <w:t>Employee engagement and occupational burnout significantly influence workforce productivity</w:t>
      </w:r>
      <w:r>
        <w:rPr>
          <w:spacing w:val="40"/>
        </w:rPr>
        <w:t xml:space="preserve"> </w:t>
      </w:r>
      <w:r>
        <w:t>and</w:t>
      </w:r>
      <w:r>
        <w:rPr>
          <w:spacing w:val="-8"/>
        </w:rPr>
        <w:t xml:space="preserve"> </w:t>
      </w:r>
      <w:r>
        <w:t>organizational</w:t>
      </w:r>
      <w:r>
        <w:rPr>
          <w:spacing w:val="-8"/>
        </w:rPr>
        <w:t xml:space="preserve"> </w:t>
      </w:r>
      <w:r>
        <w:t>sustainability.</w:t>
      </w:r>
      <w:r>
        <w:rPr>
          <w:spacing w:val="-8"/>
        </w:rPr>
        <w:t xml:space="preserve"> </w:t>
      </w:r>
      <w:r>
        <w:t>This</w:t>
      </w:r>
      <w:r>
        <w:rPr>
          <w:spacing w:val="-8"/>
        </w:rPr>
        <w:t xml:space="preserve"> </w:t>
      </w:r>
      <w:r>
        <w:t>research</w:t>
      </w:r>
      <w:r>
        <w:rPr>
          <w:spacing w:val="-8"/>
        </w:rPr>
        <w:t xml:space="preserve"> </w:t>
      </w:r>
      <w:r>
        <w:t>presents a structured analytical framework for evaluating employee engagement through a composite index approach and identifying burnout risk using rule-based classification logic. The study integrates data preprocessing, feature engineering, quantitative modeling, and interactive visualization to provide interpretable workforce intelligence. Experimental analysis demonstrates that overtime exposure and reduced work-life balance are strongly associated with elevated burnout risk. The proposed framework offers a scalable and transparent decision-support model suitable for modern HR analytics environments.</w:t>
      </w:r>
    </w:p>
    <w:p w14:paraId="38C5330C" w14:textId="77777777" w:rsidR="00D43E3A" w:rsidRDefault="00D43E3A">
      <w:pPr>
        <w:pStyle w:val="BodyText"/>
        <w:spacing w:before="152"/>
      </w:pPr>
    </w:p>
    <w:p w14:paraId="004418F9" w14:textId="77777777" w:rsidR="00D43E3A" w:rsidRDefault="00000000">
      <w:pPr>
        <w:pStyle w:val="BodyText"/>
        <w:spacing w:line="278" w:lineRule="auto"/>
        <w:ind w:left="135" w:right="62"/>
      </w:pPr>
      <w:r>
        <w:rPr>
          <w:rFonts w:ascii="Arial" w:hAnsi="Arial"/>
          <w:b/>
        </w:rPr>
        <w:t>Keywords—</w:t>
      </w:r>
      <w:r>
        <w:rPr>
          <w:rFonts w:ascii="Arial" w:hAnsi="Arial"/>
          <w:b/>
          <w:spacing w:val="-8"/>
        </w:rPr>
        <w:t xml:space="preserve"> </w:t>
      </w:r>
      <w:r>
        <w:t>Employee</w:t>
      </w:r>
      <w:r>
        <w:rPr>
          <w:spacing w:val="-8"/>
        </w:rPr>
        <w:t xml:space="preserve"> </w:t>
      </w:r>
      <w:r>
        <w:t>Engagement,</w:t>
      </w:r>
      <w:r>
        <w:rPr>
          <w:spacing w:val="-8"/>
        </w:rPr>
        <w:t xml:space="preserve"> </w:t>
      </w:r>
      <w:r>
        <w:t>Burnout</w:t>
      </w:r>
      <w:r>
        <w:rPr>
          <w:spacing w:val="-8"/>
        </w:rPr>
        <w:t xml:space="preserve"> </w:t>
      </w:r>
      <w:r>
        <w:t>Risk,</w:t>
      </w:r>
      <w:r>
        <w:rPr>
          <w:spacing w:val="-8"/>
        </w:rPr>
        <w:t xml:space="preserve"> </w:t>
      </w:r>
      <w:r>
        <w:t>HR Analytics, Composite Index, Workforce Intelligence, Data Visualization.</w:t>
      </w:r>
    </w:p>
    <w:p w14:paraId="4F7EB21E" w14:textId="77777777" w:rsidR="00D43E3A" w:rsidRDefault="00D43E3A">
      <w:pPr>
        <w:pStyle w:val="BodyText"/>
      </w:pPr>
    </w:p>
    <w:p w14:paraId="4A840270" w14:textId="77777777" w:rsidR="00D43E3A" w:rsidRDefault="00D43E3A">
      <w:pPr>
        <w:pStyle w:val="BodyText"/>
        <w:spacing w:before="68"/>
      </w:pPr>
    </w:p>
    <w:p w14:paraId="455E6D3C" w14:textId="77777777" w:rsidR="00D43E3A" w:rsidRDefault="00000000">
      <w:pPr>
        <w:pStyle w:val="Heading1"/>
        <w:numPr>
          <w:ilvl w:val="0"/>
          <w:numId w:val="2"/>
        </w:numPr>
        <w:tabs>
          <w:tab w:val="left" w:pos="318"/>
        </w:tabs>
        <w:ind w:left="318" w:hanging="183"/>
        <w:jc w:val="left"/>
      </w:pPr>
      <w:r>
        <w:rPr>
          <w:spacing w:val="-2"/>
        </w:rPr>
        <w:t>Introduction</w:t>
      </w:r>
    </w:p>
    <w:p w14:paraId="52917BE0" w14:textId="77777777" w:rsidR="00D43E3A" w:rsidRDefault="00D43E3A">
      <w:pPr>
        <w:pStyle w:val="BodyText"/>
        <w:spacing w:before="211"/>
        <w:rPr>
          <w:rFonts w:ascii="Arial"/>
          <w:b/>
          <w:sz w:val="22"/>
        </w:rPr>
      </w:pPr>
    </w:p>
    <w:p w14:paraId="324A1B7D" w14:textId="77777777" w:rsidR="00D43E3A" w:rsidRDefault="00000000">
      <w:pPr>
        <w:pStyle w:val="BodyText"/>
        <w:spacing w:before="1" w:line="278" w:lineRule="auto"/>
        <w:ind w:left="135"/>
      </w:pPr>
      <w:r>
        <w:t>Organizations</w:t>
      </w:r>
      <w:r>
        <w:rPr>
          <w:spacing w:val="-7"/>
        </w:rPr>
        <w:t xml:space="preserve"> </w:t>
      </w:r>
      <w:r>
        <w:t>increasingly</w:t>
      </w:r>
      <w:r>
        <w:rPr>
          <w:spacing w:val="-7"/>
        </w:rPr>
        <w:t xml:space="preserve"> </w:t>
      </w:r>
      <w:r>
        <w:t>rely</w:t>
      </w:r>
      <w:r>
        <w:rPr>
          <w:spacing w:val="-7"/>
        </w:rPr>
        <w:t xml:space="preserve"> </w:t>
      </w:r>
      <w:r>
        <w:t>on</w:t>
      </w:r>
      <w:r>
        <w:rPr>
          <w:spacing w:val="-7"/>
        </w:rPr>
        <w:t xml:space="preserve"> </w:t>
      </w:r>
      <w:r>
        <w:t>workforce</w:t>
      </w:r>
      <w:r>
        <w:rPr>
          <w:spacing w:val="-7"/>
        </w:rPr>
        <w:t xml:space="preserve"> </w:t>
      </w:r>
      <w:r>
        <w:t>analytics</w:t>
      </w:r>
      <w:r>
        <w:rPr>
          <w:spacing w:val="-7"/>
        </w:rPr>
        <w:t xml:space="preserve"> </w:t>
      </w:r>
      <w:r>
        <w:t>to monitor employee satisfaction, productivity, and</w:t>
      </w:r>
    </w:p>
    <w:p w14:paraId="600D5F74" w14:textId="77777777" w:rsidR="00D43E3A" w:rsidRDefault="00000000">
      <w:pPr>
        <w:pStyle w:val="BodyText"/>
        <w:spacing w:line="278" w:lineRule="auto"/>
        <w:ind w:left="135" w:right="62"/>
      </w:pPr>
      <w:r>
        <w:t>well-being. Employee engagement reflects emotional commitment</w:t>
      </w:r>
      <w:r>
        <w:rPr>
          <w:spacing w:val="-10"/>
        </w:rPr>
        <w:t xml:space="preserve"> </w:t>
      </w:r>
      <w:r>
        <w:t>toward</w:t>
      </w:r>
      <w:r>
        <w:rPr>
          <w:spacing w:val="-10"/>
        </w:rPr>
        <w:t xml:space="preserve"> </w:t>
      </w:r>
      <w:r>
        <w:t>organizational</w:t>
      </w:r>
      <w:r>
        <w:rPr>
          <w:spacing w:val="-10"/>
        </w:rPr>
        <w:t xml:space="preserve"> </w:t>
      </w:r>
      <w:r>
        <w:t>objectives,</w:t>
      </w:r>
      <w:r>
        <w:rPr>
          <w:spacing w:val="-10"/>
        </w:rPr>
        <w:t xml:space="preserve"> </w:t>
      </w:r>
      <w:r>
        <w:t>whereas burnout</w:t>
      </w:r>
      <w:r>
        <w:rPr>
          <w:spacing w:val="-5"/>
        </w:rPr>
        <w:t xml:space="preserve"> </w:t>
      </w:r>
      <w:r>
        <w:t>represents</w:t>
      </w:r>
      <w:r>
        <w:rPr>
          <w:spacing w:val="-5"/>
        </w:rPr>
        <w:t xml:space="preserve"> </w:t>
      </w:r>
      <w:r>
        <w:t>chronic</w:t>
      </w:r>
      <w:r>
        <w:rPr>
          <w:spacing w:val="-5"/>
        </w:rPr>
        <w:t xml:space="preserve"> </w:t>
      </w:r>
      <w:r>
        <w:t>workplace</w:t>
      </w:r>
      <w:r>
        <w:rPr>
          <w:spacing w:val="-5"/>
        </w:rPr>
        <w:t xml:space="preserve"> </w:t>
      </w:r>
      <w:r>
        <w:t>stress</w:t>
      </w:r>
      <w:r>
        <w:rPr>
          <w:spacing w:val="-5"/>
        </w:rPr>
        <w:t xml:space="preserve"> </w:t>
      </w:r>
      <w:r>
        <w:t>leading</w:t>
      </w:r>
      <w:r>
        <w:rPr>
          <w:spacing w:val="-5"/>
        </w:rPr>
        <w:t xml:space="preserve"> </w:t>
      </w:r>
      <w:r>
        <w:t>to reduced performance. Traditional HR dashboards provide descriptive summaries but lack structured analytical</w:t>
      </w:r>
      <w:r>
        <w:rPr>
          <w:spacing w:val="-3"/>
        </w:rPr>
        <w:t xml:space="preserve"> </w:t>
      </w:r>
      <w:r>
        <w:t>modeling.</w:t>
      </w:r>
      <w:r>
        <w:rPr>
          <w:spacing w:val="-3"/>
        </w:rPr>
        <w:t xml:space="preserve"> </w:t>
      </w:r>
      <w:r>
        <w:t>This</w:t>
      </w:r>
      <w:r>
        <w:rPr>
          <w:spacing w:val="-3"/>
        </w:rPr>
        <w:t xml:space="preserve"> </w:t>
      </w:r>
      <w:r>
        <w:t>study</w:t>
      </w:r>
      <w:r>
        <w:rPr>
          <w:spacing w:val="-3"/>
        </w:rPr>
        <w:t xml:space="preserve"> </w:t>
      </w:r>
      <w:r>
        <w:t>introduces</w:t>
      </w:r>
      <w:r>
        <w:rPr>
          <w:spacing w:val="-3"/>
        </w:rPr>
        <w:t xml:space="preserve"> </w:t>
      </w:r>
      <w:r>
        <w:t>a</w:t>
      </w:r>
      <w:r>
        <w:rPr>
          <w:spacing w:val="-3"/>
        </w:rPr>
        <w:t xml:space="preserve"> </w:t>
      </w:r>
      <w:r>
        <w:t xml:space="preserve">composite engagement index and interpretable burnout classification model supported by interactive </w:t>
      </w:r>
      <w:proofErr w:type="spellStart"/>
      <w:proofErr w:type="gramStart"/>
      <w:r>
        <w:t>visualization.Organizations</w:t>
      </w:r>
      <w:proofErr w:type="spellEnd"/>
      <w:proofErr w:type="gramEnd"/>
      <w:r>
        <w:t xml:space="preserve"> increasingly rely on workforce analytics to monitor employee satisfaction, productivity, and well-being. Employee engagement reflects emotional commitment toward organizational objectives, whereas burnout represents chronic workplace stress leading to reduced performance.</w:t>
      </w:r>
    </w:p>
    <w:p w14:paraId="7C13C532" w14:textId="77777777" w:rsidR="00D43E3A" w:rsidRDefault="00000000">
      <w:pPr>
        <w:pStyle w:val="BodyText"/>
        <w:spacing w:line="278" w:lineRule="auto"/>
        <w:ind w:left="135" w:right="62"/>
      </w:pPr>
      <w:r>
        <w:t xml:space="preserve">Traditional HR dashboards provide descriptive summaries but lack structured analytical modeling. This study introduces a composite engagement index and interpretable burnout classification model supported by interactive </w:t>
      </w:r>
      <w:proofErr w:type="spellStart"/>
      <w:proofErr w:type="gramStart"/>
      <w:r>
        <w:t>visualization.Organizations</w:t>
      </w:r>
      <w:proofErr w:type="spellEnd"/>
      <w:proofErr w:type="gramEnd"/>
      <w:r>
        <w:t xml:space="preserve"> increasingly rely on</w:t>
      </w:r>
      <w:r>
        <w:rPr>
          <w:spacing w:val="-7"/>
        </w:rPr>
        <w:t xml:space="preserve"> </w:t>
      </w:r>
      <w:r>
        <w:t>workforce</w:t>
      </w:r>
      <w:r>
        <w:rPr>
          <w:spacing w:val="-7"/>
        </w:rPr>
        <w:t xml:space="preserve"> </w:t>
      </w:r>
      <w:r>
        <w:t>analytics</w:t>
      </w:r>
      <w:r>
        <w:rPr>
          <w:spacing w:val="-7"/>
        </w:rPr>
        <w:t xml:space="preserve"> </w:t>
      </w:r>
      <w:r>
        <w:t>to</w:t>
      </w:r>
      <w:r>
        <w:rPr>
          <w:spacing w:val="-7"/>
        </w:rPr>
        <w:t xml:space="preserve"> </w:t>
      </w:r>
      <w:r>
        <w:t>monitor</w:t>
      </w:r>
      <w:r>
        <w:rPr>
          <w:spacing w:val="-7"/>
        </w:rPr>
        <w:t xml:space="preserve"> </w:t>
      </w:r>
      <w:r>
        <w:t>employee</w:t>
      </w:r>
      <w:r>
        <w:rPr>
          <w:spacing w:val="-7"/>
        </w:rPr>
        <w:t xml:space="preserve"> </w:t>
      </w:r>
      <w:r>
        <w:t>satisfaction, productivity, and well-being. Employee engagement</w:t>
      </w:r>
    </w:p>
    <w:p w14:paraId="1D810A20" w14:textId="0816631E" w:rsidR="00D43E3A" w:rsidRDefault="00000000">
      <w:pPr>
        <w:pStyle w:val="BodyText"/>
        <w:spacing w:before="81" w:line="278" w:lineRule="auto"/>
        <w:ind w:left="136" w:right="77"/>
      </w:pPr>
      <w:r>
        <w:br w:type="column"/>
      </w:r>
      <w:r>
        <w:t>reflects</w:t>
      </w:r>
      <w:r>
        <w:rPr>
          <w:spacing w:val="-9"/>
        </w:rPr>
        <w:t xml:space="preserve"> </w:t>
      </w:r>
      <w:r>
        <w:t>emotional</w:t>
      </w:r>
      <w:r>
        <w:rPr>
          <w:spacing w:val="-9"/>
        </w:rPr>
        <w:t xml:space="preserve"> </w:t>
      </w:r>
      <w:r>
        <w:t>commitment</w:t>
      </w:r>
      <w:r>
        <w:rPr>
          <w:spacing w:val="-9"/>
        </w:rPr>
        <w:t xml:space="preserve"> </w:t>
      </w:r>
      <w:r>
        <w:t>toward</w:t>
      </w:r>
      <w:r>
        <w:rPr>
          <w:spacing w:val="-9"/>
        </w:rPr>
        <w:t xml:space="preserve"> </w:t>
      </w:r>
      <w:r>
        <w:t>organizational objectives, whereas burnout represents chronic workplace stress leading to reduced performance.</w:t>
      </w:r>
    </w:p>
    <w:p w14:paraId="7A6E23F2" w14:textId="77777777" w:rsidR="00D43E3A" w:rsidRDefault="00000000">
      <w:pPr>
        <w:pStyle w:val="BodyText"/>
        <w:spacing w:line="278" w:lineRule="auto"/>
        <w:ind w:left="136" w:right="77"/>
      </w:pPr>
      <w:r>
        <w:t>Traditional HR dashboards provide descriptive summaries</w:t>
      </w:r>
      <w:r>
        <w:rPr>
          <w:spacing w:val="-6"/>
        </w:rPr>
        <w:t xml:space="preserve"> </w:t>
      </w:r>
      <w:r>
        <w:t>but</w:t>
      </w:r>
      <w:r>
        <w:rPr>
          <w:spacing w:val="-6"/>
        </w:rPr>
        <w:t xml:space="preserve"> </w:t>
      </w:r>
      <w:r>
        <w:t>lack</w:t>
      </w:r>
      <w:r>
        <w:rPr>
          <w:spacing w:val="-6"/>
        </w:rPr>
        <w:t xml:space="preserve"> </w:t>
      </w:r>
      <w:r>
        <w:t>structured</w:t>
      </w:r>
      <w:r>
        <w:rPr>
          <w:spacing w:val="-6"/>
        </w:rPr>
        <w:t xml:space="preserve"> </w:t>
      </w:r>
      <w:r>
        <w:t>analytical</w:t>
      </w:r>
      <w:r>
        <w:rPr>
          <w:spacing w:val="-6"/>
        </w:rPr>
        <w:t xml:space="preserve"> </w:t>
      </w:r>
      <w:r>
        <w:t>modeling.</w:t>
      </w:r>
      <w:r>
        <w:rPr>
          <w:spacing w:val="-6"/>
        </w:rPr>
        <w:t xml:space="preserve"> </w:t>
      </w:r>
      <w:r>
        <w:t>This study introduces a composite engagement index and interpretable burnout classification model supported by interactive visualization.</w:t>
      </w:r>
    </w:p>
    <w:p w14:paraId="6E65EF33" w14:textId="77777777" w:rsidR="00D43E3A" w:rsidRDefault="00D43E3A">
      <w:pPr>
        <w:pStyle w:val="BodyText"/>
      </w:pPr>
    </w:p>
    <w:p w14:paraId="57967422" w14:textId="77777777" w:rsidR="00D43E3A" w:rsidRDefault="00D43E3A">
      <w:pPr>
        <w:pStyle w:val="BodyText"/>
        <w:spacing w:before="68"/>
      </w:pPr>
    </w:p>
    <w:p w14:paraId="41F218E3" w14:textId="77777777" w:rsidR="00D43E3A" w:rsidRDefault="00000000">
      <w:pPr>
        <w:pStyle w:val="Heading1"/>
        <w:numPr>
          <w:ilvl w:val="0"/>
          <w:numId w:val="2"/>
        </w:numPr>
        <w:tabs>
          <w:tab w:val="left" w:pos="380"/>
        </w:tabs>
        <w:ind w:left="380" w:hanging="244"/>
        <w:jc w:val="left"/>
      </w:pPr>
      <w:r>
        <w:t xml:space="preserve">Related </w:t>
      </w:r>
      <w:r>
        <w:rPr>
          <w:spacing w:val="-4"/>
        </w:rPr>
        <w:t>Work</w:t>
      </w:r>
    </w:p>
    <w:p w14:paraId="7FB1A2D0" w14:textId="77777777" w:rsidR="00D43E3A" w:rsidRDefault="00D43E3A">
      <w:pPr>
        <w:pStyle w:val="BodyText"/>
        <w:spacing w:before="211"/>
        <w:rPr>
          <w:rFonts w:ascii="Arial"/>
          <w:b/>
          <w:sz w:val="22"/>
        </w:rPr>
      </w:pPr>
    </w:p>
    <w:p w14:paraId="5CC00A69" w14:textId="77777777" w:rsidR="00D43E3A" w:rsidRDefault="00000000">
      <w:pPr>
        <w:pStyle w:val="BodyText"/>
        <w:spacing w:line="278" w:lineRule="auto"/>
        <w:ind w:left="136" w:right="137"/>
      </w:pPr>
      <w:r>
        <w:t>Prior studies highlight survey-based engagement</w:t>
      </w:r>
      <w:r>
        <w:rPr>
          <w:spacing w:val="40"/>
        </w:rPr>
        <w:t xml:space="preserve"> </w:t>
      </w:r>
      <w:r>
        <w:t>scoring and psychological burnout measurement frameworks.</w:t>
      </w:r>
      <w:r>
        <w:rPr>
          <w:spacing w:val="-8"/>
        </w:rPr>
        <w:t xml:space="preserve"> </w:t>
      </w:r>
      <w:r>
        <w:t>However,</w:t>
      </w:r>
      <w:r>
        <w:rPr>
          <w:spacing w:val="-8"/>
        </w:rPr>
        <w:t xml:space="preserve"> </w:t>
      </w:r>
      <w:r>
        <w:t>many</w:t>
      </w:r>
      <w:r>
        <w:rPr>
          <w:spacing w:val="-8"/>
        </w:rPr>
        <w:t xml:space="preserve"> </w:t>
      </w:r>
      <w:r>
        <w:t>implementations</w:t>
      </w:r>
      <w:r>
        <w:rPr>
          <w:spacing w:val="-8"/>
        </w:rPr>
        <w:t xml:space="preserve"> </w:t>
      </w:r>
      <w:r>
        <w:t>rely</w:t>
      </w:r>
      <w:r>
        <w:rPr>
          <w:spacing w:val="-8"/>
        </w:rPr>
        <w:t xml:space="preserve"> </w:t>
      </w:r>
      <w:r>
        <w:t>solely on static reporting or complex black-box models. The need for interpretable, scalable, and practical analytical frameworks</w:t>
      </w:r>
      <w:r>
        <w:rPr>
          <w:spacing w:val="-5"/>
        </w:rPr>
        <w:t xml:space="preserve"> </w:t>
      </w:r>
      <w:r>
        <w:t>remains</w:t>
      </w:r>
      <w:r>
        <w:rPr>
          <w:spacing w:val="-5"/>
        </w:rPr>
        <w:t xml:space="preserve"> </w:t>
      </w:r>
      <w:r>
        <w:t>critical</w:t>
      </w:r>
      <w:r>
        <w:rPr>
          <w:spacing w:val="-5"/>
        </w:rPr>
        <w:t xml:space="preserve"> </w:t>
      </w:r>
      <w:r>
        <w:t>in</w:t>
      </w:r>
      <w:r>
        <w:rPr>
          <w:spacing w:val="-5"/>
        </w:rPr>
        <w:t xml:space="preserve"> </w:t>
      </w:r>
      <w:r>
        <w:t>HR</w:t>
      </w:r>
      <w:r>
        <w:rPr>
          <w:spacing w:val="-5"/>
        </w:rPr>
        <w:t xml:space="preserve"> </w:t>
      </w:r>
      <w:proofErr w:type="spellStart"/>
      <w:proofErr w:type="gramStart"/>
      <w:r>
        <w:t>analytics.Prior</w:t>
      </w:r>
      <w:proofErr w:type="spellEnd"/>
      <w:proofErr w:type="gramEnd"/>
      <w:r>
        <w:rPr>
          <w:spacing w:val="-5"/>
        </w:rPr>
        <w:t xml:space="preserve"> </w:t>
      </w:r>
      <w:r>
        <w:t>studies highlight survey-based engagement scoring and psychological burnout measurement frameworks.</w:t>
      </w:r>
    </w:p>
    <w:p w14:paraId="4E5C39EE" w14:textId="77777777" w:rsidR="00D43E3A" w:rsidRDefault="00000000">
      <w:pPr>
        <w:pStyle w:val="BodyText"/>
        <w:spacing w:line="278" w:lineRule="auto"/>
        <w:ind w:left="136" w:right="36"/>
      </w:pPr>
      <w:r>
        <w:t>However, many implementations rely solely on static reporting or complex black-box models. The need for interpretable, scalable, and practical analytical frameworks</w:t>
      </w:r>
      <w:r>
        <w:rPr>
          <w:spacing w:val="-6"/>
        </w:rPr>
        <w:t xml:space="preserve"> </w:t>
      </w:r>
      <w:r>
        <w:t>remains</w:t>
      </w:r>
      <w:r>
        <w:rPr>
          <w:spacing w:val="-6"/>
        </w:rPr>
        <w:t xml:space="preserve"> </w:t>
      </w:r>
      <w:r>
        <w:t>critical</w:t>
      </w:r>
      <w:r>
        <w:rPr>
          <w:spacing w:val="-6"/>
        </w:rPr>
        <w:t xml:space="preserve"> </w:t>
      </w:r>
      <w:r>
        <w:t>in</w:t>
      </w:r>
      <w:r>
        <w:rPr>
          <w:spacing w:val="-6"/>
        </w:rPr>
        <w:t xml:space="preserve"> </w:t>
      </w:r>
      <w:r>
        <w:t>HR</w:t>
      </w:r>
      <w:r>
        <w:rPr>
          <w:spacing w:val="-6"/>
        </w:rPr>
        <w:t xml:space="preserve"> </w:t>
      </w:r>
      <w:proofErr w:type="spellStart"/>
      <w:proofErr w:type="gramStart"/>
      <w:r>
        <w:t>analytics.Prior</w:t>
      </w:r>
      <w:proofErr w:type="spellEnd"/>
      <w:proofErr w:type="gramEnd"/>
      <w:r>
        <w:rPr>
          <w:spacing w:val="-6"/>
        </w:rPr>
        <w:t xml:space="preserve"> </w:t>
      </w:r>
      <w:r>
        <w:t>studies highlight survey-based engagement scoring and psychological burnout measurement frameworks.</w:t>
      </w:r>
    </w:p>
    <w:p w14:paraId="43274CDB" w14:textId="77777777" w:rsidR="00D43E3A" w:rsidRDefault="00000000">
      <w:pPr>
        <w:pStyle w:val="BodyText"/>
        <w:spacing w:line="278" w:lineRule="auto"/>
        <w:ind w:left="136" w:right="77"/>
      </w:pPr>
      <w:r>
        <w:t>However,</w:t>
      </w:r>
      <w:r>
        <w:rPr>
          <w:spacing w:val="-1"/>
        </w:rPr>
        <w:t xml:space="preserve"> </w:t>
      </w:r>
      <w:r>
        <w:t>many</w:t>
      </w:r>
      <w:r>
        <w:rPr>
          <w:spacing w:val="-1"/>
        </w:rPr>
        <w:t xml:space="preserve"> </w:t>
      </w:r>
      <w:r>
        <w:t>implementations</w:t>
      </w:r>
      <w:r>
        <w:rPr>
          <w:spacing w:val="-1"/>
        </w:rPr>
        <w:t xml:space="preserve"> </w:t>
      </w:r>
      <w:r>
        <w:t>rely</w:t>
      </w:r>
      <w:r>
        <w:rPr>
          <w:spacing w:val="-1"/>
        </w:rPr>
        <w:t xml:space="preserve"> </w:t>
      </w:r>
      <w:r>
        <w:t>solely</w:t>
      </w:r>
      <w:r>
        <w:rPr>
          <w:spacing w:val="-1"/>
        </w:rPr>
        <w:t xml:space="preserve"> </w:t>
      </w:r>
      <w:r>
        <w:t>on</w:t>
      </w:r>
      <w:r>
        <w:rPr>
          <w:spacing w:val="-1"/>
        </w:rPr>
        <w:t xml:space="preserve"> </w:t>
      </w:r>
      <w:r>
        <w:t>static reporting</w:t>
      </w:r>
      <w:r>
        <w:rPr>
          <w:spacing w:val="-5"/>
        </w:rPr>
        <w:t xml:space="preserve"> </w:t>
      </w:r>
      <w:r>
        <w:t>or</w:t>
      </w:r>
      <w:r>
        <w:rPr>
          <w:spacing w:val="-5"/>
        </w:rPr>
        <w:t xml:space="preserve"> </w:t>
      </w:r>
      <w:r>
        <w:t>complex</w:t>
      </w:r>
      <w:r>
        <w:rPr>
          <w:spacing w:val="-5"/>
        </w:rPr>
        <w:t xml:space="preserve"> </w:t>
      </w:r>
      <w:r>
        <w:t>black-box</w:t>
      </w:r>
      <w:r>
        <w:rPr>
          <w:spacing w:val="-5"/>
        </w:rPr>
        <w:t xml:space="preserve"> </w:t>
      </w:r>
      <w:r>
        <w:t>models.</w:t>
      </w:r>
      <w:r>
        <w:rPr>
          <w:spacing w:val="-5"/>
        </w:rPr>
        <w:t xml:space="preserve"> </w:t>
      </w:r>
      <w:r>
        <w:t>The</w:t>
      </w:r>
      <w:r>
        <w:rPr>
          <w:spacing w:val="-5"/>
        </w:rPr>
        <w:t xml:space="preserve"> </w:t>
      </w:r>
      <w:r>
        <w:t>need</w:t>
      </w:r>
      <w:r>
        <w:rPr>
          <w:spacing w:val="-5"/>
        </w:rPr>
        <w:t xml:space="preserve"> </w:t>
      </w:r>
      <w:r>
        <w:t>for interpretable, scalable, and practical analytical frameworks remains critical in HR analytics.</w:t>
      </w:r>
    </w:p>
    <w:p w14:paraId="55BC4EE4" w14:textId="77777777" w:rsidR="00D43E3A" w:rsidRDefault="00D43E3A">
      <w:pPr>
        <w:pStyle w:val="BodyText"/>
      </w:pPr>
    </w:p>
    <w:p w14:paraId="342B58CC" w14:textId="77777777" w:rsidR="00D43E3A" w:rsidRDefault="00D43E3A">
      <w:pPr>
        <w:pStyle w:val="BodyText"/>
        <w:spacing w:before="67"/>
      </w:pPr>
    </w:p>
    <w:p w14:paraId="7DFA4706" w14:textId="77777777" w:rsidR="00D43E3A" w:rsidRDefault="00000000">
      <w:pPr>
        <w:pStyle w:val="Heading1"/>
        <w:numPr>
          <w:ilvl w:val="0"/>
          <w:numId w:val="2"/>
        </w:numPr>
        <w:tabs>
          <w:tab w:val="left" w:pos="441"/>
        </w:tabs>
        <w:ind w:left="441" w:hanging="305"/>
        <w:jc w:val="left"/>
      </w:pPr>
      <w:r>
        <w:rPr>
          <w:spacing w:val="-2"/>
        </w:rPr>
        <w:t>Methodology</w:t>
      </w:r>
    </w:p>
    <w:p w14:paraId="0583A4DF" w14:textId="77777777" w:rsidR="00D43E3A" w:rsidRDefault="00D43E3A">
      <w:pPr>
        <w:pStyle w:val="BodyText"/>
        <w:spacing w:before="211"/>
        <w:rPr>
          <w:rFonts w:ascii="Arial"/>
          <w:b/>
          <w:sz w:val="22"/>
        </w:rPr>
      </w:pPr>
    </w:p>
    <w:p w14:paraId="2658C3DF" w14:textId="77777777" w:rsidR="00D43E3A" w:rsidRDefault="00000000">
      <w:pPr>
        <w:pStyle w:val="BodyText"/>
        <w:spacing w:before="1" w:line="278" w:lineRule="auto"/>
        <w:ind w:left="136" w:right="136"/>
      </w:pPr>
      <w:r>
        <w:t>The methodology consists of data cleaning, normalization of satisfaction metrics, composite index computation, burnout classification, and visualization. The Engagement Index (EI) is calculated as the arithmetic mean of standardized satisfaction attributes including job satisfaction, environment satisfaction, and involvement level. Burnout Risk (BR) is categorized using rule-based thresholds derived from overtime</w:t>
      </w:r>
      <w:r>
        <w:rPr>
          <w:spacing w:val="40"/>
        </w:rPr>
        <w:t xml:space="preserve"> </w:t>
      </w:r>
      <w:r>
        <w:t>status</w:t>
      </w:r>
      <w:r>
        <w:rPr>
          <w:spacing w:val="-8"/>
        </w:rPr>
        <w:t xml:space="preserve"> </w:t>
      </w:r>
      <w:r>
        <w:t>and</w:t>
      </w:r>
      <w:r>
        <w:rPr>
          <w:spacing w:val="-8"/>
        </w:rPr>
        <w:t xml:space="preserve"> </w:t>
      </w:r>
      <w:r>
        <w:t>work-life</w:t>
      </w:r>
      <w:r>
        <w:rPr>
          <w:spacing w:val="-8"/>
        </w:rPr>
        <w:t xml:space="preserve"> </w:t>
      </w:r>
      <w:r>
        <w:t>balance</w:t>
      </w:r>
      <w:r>
        <w:rPr>
          <w:spacing w:val="-8"/>
        </w:rPr>
        <w:t xml:space="preserve"> </w:t>
      </w:r>
      <w:proofErr w:type="spellStart"/>
      <w:proofErr w:type="gramStart"/>
      <w:r>
        <w:t>indicators.The</w:t>
      </w:r>
      <w:proofErr w:type="spellEnd"/>
      <w:proofErr w:type="gramEnd"/>
      <w:r>
        <w:rPr>
          <w:spacing w:val="-8"/>
        </w:rPr>
        <w:t xml:space="preserve"> </w:t>
      </w:r>
      <w:r>
        <w:t>methodology consists of data cleaning, normalization of satisfaction metrics, composite index computation, burnout classification, and visualization. The Engagement Index (EI)</w:t>
      </w:r>
      <w:r>
        <w:rPr>
          <w:spacing w:val="-4"/>
        </w:rPr>
        <w:t xml:space="preserve"> </w:t>
      </w:r>
      <w:r>
        <w:t>is</w:t>
      </w:r>
      <w:r>
        <w:rPr>
          <w:spacing w:val="-4"/>
        </w:rPr>
        <w:t xml:space="preserve"> </w:t>
      </w:r>
      <w:r>
        <w:t>calculated</w:t>
      </w:r>
      <w:r>
        <w:rPr>
          <w:spacing w:val="-4"/>
        </w:rPr>
        <w:t xml:space="preserve"> </w:t>
      </w:r>
      <w:r>
        <w:t>as</w:t>
      </w:r>
      <w:r>
        <w:rPr>
          <w:spacing w:val="-4"/>
        </w:rPr>
        <w:t xml:space="preserve"> </w:t>
      </w:r>
      <w:r>
        <w:t>the</w:t>
      </w:r>
      <w:r>
        <w:rPr>
          <w:spacing w:val="-4"/>
        </w:rPr>
        <w:t xml:space="preserve"> </w:t>
      </w:r>
      <w:r>
        <w:t>arithmetic</w:t>
      </w:r>
      <w:r>
        <w:rPr>
          <w:spacing w:val="-4"/>
        </w:rPr>
        <w:t xml:space="preserve"> </w:t>
      </w:r>
      <w:r>
        <w:t>mean</w:t>
      </w:r>
      <w:r>
        <w:rPr>
          <w:spacing w:val="-4"/>
        </w:rPr>
        <w:t xml:space="preserve"> </w:t>
      </w:r>
      <w:r>
        <w:t>of</w:t>
      </w:r>
      <w:r>
        <w:rPr>
          <w:spacing w:val="-4"/>
        </w:rPr>
        <w:t xml:space="preserve"> </w:t>
      </w:r>
      <w:r>
        <w:t>standardized satisfaction attributes including job satisfaction, environment satisfaction, and involvement level.</w:t>
      </w:r>
    </w:p>
    <w:p w14:paraId="365F1914" w14:textId="77777777" w:rsidR="00D43E3A" w:rsidRDefault="00000000">
      <w:pPr>
        <w:pStyle w:val="BodyText"/>
        <w:spacing w:line="278" w:lineRule="auto"/>
        <w:ind w:left="136" w:right="186"/>
      </w:pPr>
      <w:r>
        <w:t>Burnout Risk (BR) is categorized using rule-based thresholds</w:t>
      </w:r>
      <w:r>
        <w:rPr>
          <w:spacing w:val="-6"/>
        </w:rPr>
        <w:t xml:space="preserve"> </w:t>
      </w:r>
      <w:r>
        <w:t>derived</w:t>
      </w:r>
      <w:r>
        <w:rPr>
          <w:spacing w:val="-6"/>
        </w:rPr>
        <w:t xml:space="preserve"> </w:t>
      </w:r>
      <w:r>
        <w:t>from</w:t>
      </w:r>
      <w:r>
        <w:rPr>
          <w:spacing w:val="-6"/>
        </w:rPr>
        <w:t xml:space="preserve"> </w:t>
      </w:r>
      <w:r>
        <w:t>overtime</w:t>
      </w:r>
      <w:r>
        <w:rPr>
          <w:spacing w:val="-6"/>
        </w:rPr>
        <w:t xml:space="preserve"> </w:t>
      </w:r>
      <w:r>
        <w:t>status</w:t>
      </w:r>
      <w:r>
        <w:rPr>
          <w:spacing w:val="-6"/>
        </w:rPr>
        <w:t xml:space="preserve"> </w:t>
      </w:r>
      <w:r>
        <w:t>and</w:t>
      </w:r>
      <w:r>
        <w:rPr>
          <w:spacing w:val="-6"/>
        </w:rPr>
        <w:t xml:space="preserve"> </w:t>
      </w:r>
      <w:r>
        <w:t>work-life balance</w:t>
      </w:r>
      <w:r>
        <w:rPr>
          <w:spacing w:val="-1"/>
        </w:rPr>
        <w:t xml:space="preserve"> </w:t>
      </w:r>
      <w:proofErr w:type="spellStart"/>
      <w:proofErr w:type="gramStart"/>
      <w:r>
        <w:t>indicators.The</w:t>
      </w:r>
      <w:proofErr w:type="spellEnd"/>
      <w:proofErr w:type="gramEnd"/>
      <w:r>
        <w:rPr>
          <w:spacing w:val="-1"/>
        </w:rPr>
        <w:t xml:space="preserve"> </w:t>
      </w:r>
      <w:r>
        <w:t>methodology</w:t>
      </w:r>
      <w:r>
        <w:rPr>
          <w:spacing w:val="-1"/>
        </w:rPr>
        <w:t xml:space="preserve"> </w:t>
      </w:r>
      <w:r>
        <w:t>consists</w:t>
      </w:r>
      <w:r>
        <w:rPr>
          <w:spacing w:val="-1"/>
        </w:rPr>
        <w:t xml:space="preserve"> </w:t>
      </w:r>
      <w:r>
        <w:t>of</w:t>
      </w:r>
      <w:r>
        <w:rPr>
          <w:spacing w:val="-1"/>
        </w:rPr>
        <w:t xml:space="preserve"> </w:t>
      </w:r>
      <w:r>
        <w:t>data cleaning, normalization of satisfaction metrics, composite index computation, burnout classification, and visualization. The Engagement Index (EI) is calculated as the arithmetic mean of standardized satisfaction attributes including job satisfaction, environment satisfaction, and involvement level.</w:t>
      </w:r>
    </w:p>
    <w:p w14:paraId="7951F0A6" w14:textId="77777777" w:rsidR="00D43E3A" w:rsidRDefault="00D43E3A">
      <w:pPr>
        <w:pStyle w:val="BodyText"/>
        <w:spacing w:line="278" w:lineRule="auto"/>
        <w:sectPr w:rsidR="00D43E3A">
          <w:type w:val="continuous"/>
          <w:pgSz w:w="11910" w:h="16840"/>
          <w:pgMar w:top="1040" w:right="992" w:bottom="280" w:left="992" w:header="720" w:footer="720" w:gutter="0"/>
          <w:cols w:num="2" w:space="720" w:equalWidth="0">
            <w:col w:w="4659" w:space="502"/>
            <w:col w:w="4765"/>
          </w:cols>
        </w:sectPr>
      </w:pPr>
    </w:p>
    <w:p w14:paraId="578A0F15" w14:textId="77777777" w:rsidR="00D43E3A" w:rsidRDefault="00000000">
      <w:pPr>
        <w:pStyle w:val="BodyText"/>
        <w:spacing w:before="81" w:line="278" w:lineRule="auto"/>
        <w:ind w:left="135"/>
      </w:pPr>
      <w:r>
        <w:lastRenderedPageBreak/>
        <w:t>Burnout Risk (BR) is categorized using rule-based thresholds</w:t>
      </w:r>
      <w:r>
        <w:rPr>
          <w:spacing w:val="-6"/>
        </w:rPr>
        <w:t xml:space="preserve"> </w:t>
      </w:r>
      <w:r>
        <w:t>derived</w:t>
      </w:r>
      <w:r>
        <w:rPr>
          <w:spacing w:val="-6"/>
        </w:rPr>
        <w:t xml:space="preserve"> </w:t>
      </w:r>
      <w:r>
        <w:t>from</w:t>
      </w:r>
      <w:r>
        <w:rPr>
          <w:spacing w:val="-6"/>
        </w:rPr>
        <w:t xml:space="preserve"> </w:t>
      </w:r>
      <w:r>
        <w:t>overtime</w:t>
      </w:r>
      <w:r>
        <w:rPr>
          <w:spacing w:val="-6"/>
        </w:rPr>
        <w:t xml:space="preserve"> </w:t>
      </w:r>
      <w:r>
        <w:t>status</w:t>
      </w:r>
      <w:r>
        <w:rPr>
          <w:spacing w:val="-6"/>
        </w:rPr>
        <w:t xml:space="preserve"> </w:t>
      </w:r>
      <w:r>
        <w:t>and</w:t>
      </w:r>
      <w:r>
        <w:rPr>
          <w:spacing w:val="-6"/>
        </w:rPr>
        <w:t xml:space="preserve"> </w:t>
      </w:r>
      <w:r>
        <w:t>work-life balance indicators.</w:t>
      </w:r>
    </w:p>
    <w:p w14:paraId="66717F5B" w14:textId="77777777" w:rsidR="00D43E3A" w:rsidRDefault="00D43E3A">
      <w:pPr>
        <w:pStyle w:val="BodyText"/>
      </w:pPr>
    </w:p>
    <w:p w14:paraId="2B2FA106" w14:textId="77777777" w:rsidR="00D43E3A" w:rsidRDefault="00D43E3A">
      <w:pPr>
        <w:pStyle w:val="BodyText"/>
        <w:spacing w:before="68"/>
      </w:pPr>
    </w:p>
    <w:p w14:paraId="5D412A49" w14:textId="77777777" w:rsidR="00D43E3A" w:rsidRDefault="00000000">
      <w:pPr>
        <w:pStyle w:val="Heading1"/>
        <w:numPr>
          <w:ilvl w:val="0"/>
          <w:numId w:val="2"/>
        </w:numPr>
        <w:tabs>
          <w:tab w:val="left" w:pos="465"/>
        </w:tabs>
        <w:ind w:left="465" w:hanging="330"/>
        <w:jc w:val="left"/>
      </w:pPr>
      <w:r>
        <w:t xml:space="preserve">Mathematical </w:t>
      </w:r>
      <w:r>
        <w:rPr>
          <w:spacing w:val="-2"/>
        </w:rPr>
        <w:t>Model</w:t>
      </w:r>
    </w:p>
    <w:p w14:paraId="28001AD2" w14:textId="77777777" w:rsidR="00D43E3A" w:rsidRDefault="00D43E3A">
      <w:pPr>
        <w:pStyle w:val="BodyText"/>
        <w:spacing w:before="212"/>
        <w:rPr>
          <w:rFonts w:ascii="Arial"/>
          <w:b/>
          <w:sz w:val="22"/>
        </w:rPr>
      </w:pPr>
    </w:p>
    <w:p w14:paraId="2711BE23" w14:textId="77777777" w:rsidR="00D43E3A" w:rsidRDefault="00000000">
      <w:pPr>
        <w:pStyle w:val="BodyText"/>
        <w:ind w:left="135"/>
      </w:pPr>
      <w:r>
        <w:t xml:space="preserve">The Engagement Index is defined as: EI = (JS + ES + </w:t>
      </w:r>
      <w:r>
        <w:rPr>
          <w:spacing w:val="-5"/>
        </w:rPr>
        <w:t>JI</w:t>
      </w:r>
    </w:p>
    <w:p w14:paraId="6EB80201" w14:textId="77777777" w:rsidR="00D43E3A" w:rsidRDefault="00000000">
      <w:pPr>
        <w:pStyle w:val="BodyText"/>
        <w:spacing w:before="33" w:line="278" w:lineRule="auto"/>
        <w:ind w:left="135"/>
      </w:pPr>
      <w:r>
        <w:t>+ WLB) / 4, where JS denotes Job Satisfaction, ES denotes Environment Satisfaction, JI denotes Job Involvement, and WLB denotes Work-Life Balance. Burnout classification rules assign High Risk to employees with overtime exposure and low work-life balance</w:t>
      </w:r>
      <w:r>
        <w:rPr>
          <w:spacing w:val="-6"/>
        </w:rPr>
        <w:t xml:space="preserve"> </w:t>
      </w:r>
      <w:proofErr w:type="spellStart"/>
      <w:proofErr w:type="gramStart"/>
      <w:r>
        <w:t>scores.The</w:t>
      </w:r>
      <w:proofErr w:type="spellEnd"/>
      <w:proofErr w:type="gramEnd"/>
      <w:r>
        <w:rPr>
          <w:spacing w:val="-6"/>
        </w:rPr>
        <w:t xml:space="preserve"> </w:t>
      </w:r>
      <w:r>
        <w:t>Engagement</w:t>
      </w:r>
      <w:r>
        <w:rPr>
          <w:spacing w:val="-6"/>
        </w:rPr>
        <w:t xml:space="preserve"> </w:t>
      </w:r>
      <w:r>
        <w:t>Index</w:t>
      </w:r>
      <w:r>
        <w:rPr>
          <w:spacing w:val="-6"/>
        </w:rPr>
        <w:t xml:space="preserve"> </w:t>
      </w:r>
      <w:r>
        <w:t>is</w:t>
      </w:r>
      <w:r>
        <w:rPr>
          <w:spacing w:val="-6"/>
        </w:rPr>
        <w:t xml:space="preserve"> </w:t>
      </w:r>
      <w:r>
        <w:t>defined</w:t>
      </w:r>
      <w:r>
        <w:rPr>
          <w:spacing w:val="-6"/>
        </w:rPr>
        <w:t xml:space="preserve"> </w:t>
      </w:r>
      <w:r>
        <w:t>as:</w:t>
      </w:r>
      <w:r>
        <w:rPr>
          <w:spacing w:val="-6"/>
        </w:rPr>
        <w:t xml:space="preserve"> </w:t>
      </w:r>
      <w:r>
        <w:t>EI</w:t>
      </w:r>
    </w:p>
    <w:p w14:paraId="2431D088" w14:textId="77777777" w:rsidR="00D43E3A" w:rsidRDefault="00000000">
      <w:pPr>
        <w:pStyle w:val="BodyText"/>
        <w:spacing w:line="278" w:lineRule="auto"/>
        <w:ind w:left="135"/>
      </w:pPr>
      <w:r>
        <w:t>= (JS + ES + JI + WLB) / 4, where JS denotes Job Satisfaction, ES denotes Environment Satisfaction, JI denotes Job Involvement, and WLB denotes Work-Life Balance.</w:t>
      </w:r>
      <w:r>
        <w:rPr>
          <w:spacing w:val="-6"/>
        </w:rPr>
        <w:t xml:space="preserve"> </w:t>
      </w:r>
      <w:r>
        <w:t>Burnout</w:t>
      </w:r>
      <w:r>
        <w:rPr>
          <w:spacing w:val="-6"/>
        </w:rPr>
        <w:t xml:space="preserve"> </w:t>
      </w:r>
      <w:r>
        <w:t>classification</w:t>
      </w:r>
      <w:r>
        <w:rPr>
          <w:spacing w:val="-6"/>
        </w:rPr>
        <w:t xml:space="preserve"> </w:t>
      </w:r>
      <w:r>
        <w:t>rules</w:t>
      </w:r>
      <w:r>
        <w:rPr>
          <w:spacing w:val="-6"/>
        </w:rPr>
        <w:t xml:space="preserve"> </w:t>
      </w:r>
      <w:r>
        <w:t>assign</w:t>
      </w:r>
      <w:r>
        <w:rPr>
          <w:spacing w:val="-6"/>
        </w:rPr>
        <w:t xml:space="preserve"> </w:t>
      </w:r>
      <w:r>
        <w:t>High</w:t>
      </w:r>
      <w:r>
        <w:rPr>
          <w:spacing w:val="-6"/>
        </w:rPr>
        <w:t xml:space="preserve"> </w:t>
      </w:r>
      <w:r>
        <w:t>Risk</w:t>
      </w:r>
      <w:r>
        <w:rPr>
          <w:spacing w:val="-6"/>
        </w:rPr>
        <w:t xml:space="preserve"> </w:t>
      </w:r>
      <w:r>
        <w:t>to employees with overtime exposure and low work-life balance</w:t>
      </w:r>
      <w:r>
        <w:rPr>
          <w:spacing w:val="-3"/>
        </w:rPr>
        <w:t xml:space="preserve"> </w:t>
      </w:r>
      <w:proofErr w:type="spellStart"/>
      <w:proofErr w:type="gramStart"/>
      <w:r>
        <w:t>scores.The</w:t>
      </w:r>
      <w:proofErr w:type="spellEnd"/>
      <w:proofErr w:type="gramEnd"/>
      <w:r>
        <w:rPr>
          <w:spacing w:val="-3"/>
        </w:rPr>
        <w:t xml:space="preserve"> </w:t>
      </w:r>
      <w:r>
        <w:t>Engagement</w:t>
      </w:r>
      <w:r>
        <w:rPr>
          <w:spacing w:val="-3"/>
        </w:rPr>
        <w:t xml:space="preserve"> </w:t>
      </w:r>
      <w:r>
        <w:t>Index</w:t>
      </w:r>
      <w:r>
        <w:rPr>
          <w:spacing w:val="-3"/>
        </w:rPr>
        <w:t xml:space="preserve"> </w:t>
      </w:r>
      <w:r>
        <w:t>is</w:t>
      </w:r>
      <w:r>
        <w:rPr>
          <w:spacing w:val="-3"/>
        </w:rPr>
        <w:t xml:space="preserve"> </w:t>
      </w:r>
      <w:r>
        <w:t>defined</w:t>
      </w:r>
      <w:r>
        <w:rPr>
          <w:spacing w:val="-3"/>
        </w:rPr>
        <w:t xml:space="preserve"> </w:t>
      </w:r>
      <w:r>
        <w:t>as:</w:t>
      </w:r>
      <w:r>
        <w:rPr>
          <w:spacing w:val="-3"/>
        </w:rPr>
        <w:t xml:space="preserve"> </w:t>
      </w:r>
      <w:r>
        <w:t>EI</w:t>
      </w:r>
    </w:p>
    <w:p w14:paraId="2619C81A" w14:textId="77777777" w:rsidR="00D43E3A" w:rsidRDefault="00000000">
      <w:pPr>
        <w:pStyle w:val="BodyText"/>
        <w:spacing w:line="278" w:lineRule="auto"/>
        <w:ind w:left="135"/>
      </w:pPr>
      <w:r>
        <w:t>= (JS + ES + JI + WLB) / 4, where JS denotes Job Satisfaction, ES denotes Environment Satisfaction, JI denotes Job Involvement, and WLB denotes Work-Life Balance.</w:t>
      </w:r>
      <w:r>
        <w:rPr>
          <w:spacing w:val="-6"/>
        </w:rPr>
        <w:t xml:space="preserve"> </w:t>
      </w:r>
      <w:r>
        <w:t>Burnout</w:t>
      </w:r>
      <w:r>
        <w:rPr>
          <w:spacing w:val="-6"/>
        </w:rPr>
        <w:t xml:space="preserve"> </w:t>
      </w:r>
      <w:r>
        <w:t>classification</w:t>
      </w:r>
      <w:r>
        <w:rPr>
          <w:spacing w:val="-6"/>
        </w:rPr>
        <w:t xml:space="preserve"> </w:t>
      </w:r>
      <w:r>
        <w:t>rules</w:t>
      </w:r>
      <w:r>
        <w:rPr>
          <w:spacing w:val="-6"/>
        </w:rPr>
        <w:t xml:space="preserve"> </w:t>
      </w:r>
      <w:r>
        <w:t>assign</w:t>
      </w:r>
      <w:r>
        <w:rPr>
          <w:spacing w:val="-6"/>
        </w:rPr>
        <w:t xml:space="preserve"> </w:t>
      </w:r>
      <w:r>
        <w:t>High</w:t>
      </w:r>
      <w:r>
        <w:rPr>
          <w:spacing w:val="-6"/>
        </w:rPr>
        <w:t xml:space="preserve"> </w:t>
      </w:r>
      <w:r>
        <w:t>Risk</w:t>
      </w:r>
      <w:r>
        <w:rPr>
          <w:spacing w:val="-6"/>
        </w:rPr>
        <w:t xml:space="preserve"> </w:t>
      </w:r>
      <w:r>
        <w:t>to employees with overtime exposure and low work-life balance scores.</w:t>
      </w:r>
    </w:p>
    <w:p w14:paraId="461E46FD" w14:textId="77777777" w:rsidR="00D43E3A" w:rsidRDefault="00D43E3A">
      <w:pPr>
        <w:pStyle w:val="BodyText"/>
      </w:pPr>
    </w:p>
    <w:p w14:paraId="129644EF" w14:textId="77777777" w:rsidR="00D43E3A" w:rsidRDefault="00D43E3A">
      <w:pPr>
        <w:pStyle w:val="BodyText"/>
        <w:spacing w:before="66"/>
      </w:pPr>
    </w:p>
    <w:p w14:paraId="29DF4351" w14:textId="77777777" w:rsidR="00D43E3A" w:rsidRDefault="00000000">
      <w:pPr>
        <w:pStyle w:val="Heading1"/>
        <w:numPr>
          <w:ilvl w:val="0"/>
          <w:numId w:val="2"/>
        </w:numPr>
        <w:tabs>
          <w:tab w:val="left" w:pos="403"/>
        </w:tabs>
        <w:spacing w:before="1"/>
        <w:ind w:left="403" w:hanging="268"/>
        <w:jc w:val="left"/>
      </w:pPr>
      <w:r>
        <w:t xml:space="preserve">Results and Analytical </w:t>
      </w:r>
      <w:r>
        <w:rPr>
          <w:spacing w:val="-2"/>
        </w:rPr>
        <w:t>Insights</w:t>
      </w:r>
    </w:p>
    <w:p w14:paraId="752640A1" w14:textId="77777777" w:rsidR="00D43E3A" w:rsidRDefault="00D43E3A">
      <w:pPr>
        <w:pStyle w:val="BodyText"/>
        <w:spacing w:before="211"/>
        <w:rPr>
          <w:rFonts w:ascii="Arial"/>
          <w:b/>
          <w:sz w:val="22"/>
        </w:rPr>
      </w:pPr>
    </w:p>
    <w:p w14:paraId="578A6842" w14:textId="77777777" w:rsidR="00D43E3A" w:rsidRDefault="00000000">
      <w:pPr>
        <w:pStyle w:val="BodyText"/>
        <w:spacing w:line="278" w:lineRule="auto"/>
        <w:ind w:left="135"/>
      </w:pPr>
      <w:r>
        <w:t>Analysis</w:t>
      </w:r>
      <w:r>
        <w:rPr>
          <w:spacing w:val="-7"/>
        </w:rPr>
        <w:t xml:space="preserve"> </w:t>
      </w:r>
      <w:r>
        <w:t>indicates</w:t>
      </w:r>
      <w:r>
        <w:rPr>
          <w:spacing w:val="-7"/>
        </w:rPr>
        <w:t xml:space="preserve"> </w:t>
      </w:r>
      <w:r>
        <w:t>that</w:t>
      </w:r>
      <w:r>
        <w:rPr>
          <w:spacing w:val="-7"/>
        </w:rPr>
        <w:t xml:space="preserve"> </w:t>
      </w:r>
      <w:r>
        <w:t>departments</w:t>
      </w:r>
      <w:r>
        <w:rPr>
          <w:spacing w:val="-7"/>
        </w:rPr>
        <w:t xml:space="preserve"> </w:t>
      </w:r>
      <w:r>
        <w:t>with</w:t>
      </w:r>
      <w:r>
        <w:rPr>
          <w:spacing w:val="-7"/>
        </w:rPr>
        <w:t xml:space="preserve"> </w:t>
      </w:r>
      <w:r>
        <w:t>higher</w:t>
      </w:r>
      <w:r>
        <w:rPr>
          <w:spacing w:val="-7"/>
        </w:rPr>
        <w:t xml:space="preserve"> </w:t>
      </w:r>
      <w:r>
        <w:t>overtime participation exhibit increased burnout distribution.</w:t>
      </w:r>
    </w:p>
    <w:p w14:paraId="73CE8AE8" w14:textId="77777777" w:rsidR="00D43E3A" w:rsidRDefault="00000000">
      <w:pPr>
        <w:pStyle w:val="BodyText"/>
        <w:spacing w:line="278" w:lineRule="auto"/>
        <w:ind w:left="135" w:right="44"/>
      </w:pPr>
      <w:r>
        <w:t>Employees demonstrating moderate engagement</w:t>
      </w:r>
      <w:r>
        <w:rPr>
          <w:spacing w:val="40"/>
        </w:rPr>
        <w:t xml:space="preserve"> </w:t>
      </w:r>
      <w:r>
        <w:t>scores display improved stability compared to low engagement groups. The visualization framework enables dynamic segmentation by department and overtime</w:t>
      </w:r>
      <w:r>
        <w:rPr>
          <w:spacing w:val="-6"/>
        </w:rPr>
        <w:t xml:space="preserve"> </w:t>
      </w:r>
      <w:proofErr w:type="spellStart"/>
      <w:proofErr w:type="gramStart"/>
      <w:r>
        <w:t>status.Analysis</w:t>
      </w:r>
      <w:proofErr w:type="spellEnd"/>
      <w:proofErr w:type="gramEnd"/>
      <w:r>
        <w:rPr>
          <w:spacing w:val="-6"/>
        </w:rPr>
        <w:t xml:space="preserve"> </w:t>
      </w:r>
      <w:r>
        <w:t>indicates</w:t>
      </w:r>
      <w:r>
        <w:rPr>
          <w:spacing w:val="-6"/>
        </w:rPr>
        <w:t xml:space="preserve"> </w:t>
      </w:r>
      <w:r>
        <w:t>that</w:t>
      </w:r>
      <w:r>
        <w:rPr>
          <w:spacing w:val="-6"/>
        </w:rPr>
        <w:t xml:space="preserve"> </w:t>
      </w:r>
      <w:r>
        <w:t>departments</w:t>
      </w:r>
      <w:r>
        <w:rPr>
          <w:spacing w:val="-6"/>
        </w:rPr>
        <w:t xml:space="preserve"> </w:t>
      </w:r>
      <w:r>
        <w:t>with higher overtime participation exhibit increased burnout distribution. Employees demonstrating moderate engagement</w:t>
      </w:r>
      <w:r>
        <w:rPr>
          <w:spacing w:val="-8"/>
        </w:rPr>
        <w:t xml:space="preserve"> </w:t>
      </w:r>
      <w:r>
        <w:t>scores</w:t>
      </w:r>
      <w:r>
        <w:rPr>
          <w:spacing w:val="-8"/>
        </w:rPr>
        <w:t xml:space="preserve"> </w:t>
      </w:r>
      <w:r>
        <w:t>display</w:t>
      </w:r>
      <w:r>
        <w:rPr>
          <w:spacing w:val="-8"/>
        </w:rPr>
        <w:t xml:space="preserve"> </w:t>
      </w:r>
      <w:r>
        <w:t>improved</w:t>
      </w:r>
      <w:r>
        <w:rPr>
          <w:spacing w:val="-8"/>
        </w:rPr>
        <w:t xml:space="preserve"> </w:t>
      </w:r>
      <w:r>
        <w:t>stability</w:t>
      </w:r>
      <w:r>
        <w:rPr>
          <w:spacing w:val="-8"/>
        </w:rPr>
        <w:t xml:space="preserve"> </w:t>
      </w:r>
      <w:r>
        <w:t>compared to</w:t>
      </w:r>
      <w:r>
        <w:rPr>
          <w:spacing w:val="-1"/>
        </w:rPr>
        <w:t xml:space="preserve"> </w:t>
      </w:r>
      <w:r>
        <w:t>low</w:t>
      </w:r>
      <w:r>
        <w:rPr>
          <w:spacing w:val="-1"/>
        </w:rPr>
        <w:t xml:space="preserve"> </w:t>
      </w:r>
      <w:r>
        <w:t>engagement</w:t>
      </w:r>
      <w:r>
        <w:rPr>
          <w:spacing w:val="-1"/>
        </w:rPr>
        <w:t xml:space="preserve"> </w:t>
      </w:r>
      <w:r>
        <w:t>groups.</w:t>
      </w:r>
      <w:r>
        <w:rPr>
          <w:spacing w:val="-1"/>
        </w:rPr>
        <w:t xml:space="preserve"> </w:t>
      </w:r>
      <w:r>
        <w:t>The</w:t>
      </w:r>
      <w:r>
        <w:rPr>
          <w:spacing w:val="-1"/>
        </w:rPr>
        <w:t xml:space="preserve"> </w:t>
      </w:r>
      <w:r>
        <w:t>visualization</w:t>
      </w:r>
      <w:r>
        <w:rPr>
          <w:spacing w:val="-1"/>
        </w:rPr>
        <w:t xml:space="preserve"> </w:t>
      </w:r>
      <w:r>
        <w:t>framework enables dynamic segmentation by department and overtime</w:t>
      </w:r>
      <w:r>
        <w:rPr>
          <w:spacing w:val="-6"/>
        </w:rPr>
        <w:t xml:space="preserve"> </w:t>
      </w:r>
      <w:proofErr w:type="spellStart"/>
      <w:proofErr w:type="gramStart"/>
      <w:r>
        <w:t>status.Analysis</w:t>
      </w:r>
      <w:proofErr w:type="spellEnd"/>
      <w:proofErr w:type="gramEnd"/>
      <w:r>
        <w:rPr>
          <w:spacing w:val="-6"/>
        </w:rPr>
        <w:t xml:space="preserve"> </w:t>
      </w:r>
      <w:r>
        <w:t>indicates</w:t>
      </w:r>
      <w:r>
        <w:rPr>
          <w:spacing w:val="-6"/>
        </w:rPr>
        <w:t xml:space="preserve"> </w:t>
      </w:r>
      <w:r>
        <w:t>that</w:t>
      </w:r>
      <w:r>
        <w:rPr>
          <w:spacing w:val="-6"/>
        </w:rPr>
        <w:t xml:space="preserve"> </w:t>
      </w:r>
      <w:r>
        <w:t>departments</w:t>
      </w:r>
      <w:r>
        <w:rPr>
          <w:spacing w:val="-6"/>
        </w:rPr>
        <w:t xml:space="preserve"> </w:t>
      </w:r>
      <w:r>
        <w:t>with higher overtime participation exhibit increased burnout distribution. Employees demonstrating moderate engagement</w:t>
      </w:r>
      <w:r>
        <w:rPr>
          <w:spacing w:val="-8"/>
        </w:rPr>
        <w:t xml:space="preserve"> </w:t>
      </w:r>
      <w:r>
        <w:t>scores</w:t>
      </w:r>
      <w:r>
        <w:rPr>
          <w:spacing w:val="-8"/>
        </w:rPr>
        <w:t xml:space="preserve"> </w:t>
      </w:r>
      <w:r>
        <w:t>display</w:t>
      </w:r>
      <w:r>
        <w:rPr>
          <w:spacing w:val="-8"/>
        </w:rPr>
        <w:t xml:space="preserve"> </w:t>
      </w:r>
      <w:r>
        <w:t>improved</w:t>
      </w:r>
      <w:r>
        <w:rPr>
          <w:spacing w:val="-8"/>
        </w:rPr>
        <w:t xml:space="preserve"> </w:t>
      </w:r>
      <w:r>
        <w:t>stability</w:t>
      </w:r>
      <w:r>
        <w:rPr>
          <w:spacing w:val="-8"/>
        </w:rPr>
        <w:t xml:space="preserve"> </w:t>
      </w:r>
      <w:r>
        <w:t>compared to</w:t>
      </w:r>
      <w:r>
        <w:rPr>
          <w:spacing w:val="-1"/>
        </w:rPr>
        <w:t xml:space="preserve"> </w:t>
      </w:r>
      <w:r>
        <w:t>low</w:t>
      </w:r>
      <w:r>
        <w:rPr>
          <w:spacing w:val="-1"/>
        </w:rPr>
        <w:t xml:space="preserve"> </w:t>
      </w:r>
      <w:r>
        <w:t>engagement</w:t>
      </w:r>
      <w:r>
        <w:rPr>
          <w:spacing w:val="-1"/>
        </w:rPr>
        <w:t xml:space="preserve"> </w:t>
      </w:r>
      <w:r>
        <w:t>groups.</w:t>
      </w:r>
      <w:r>
        <w:rPr>
          <w:spacing w:val="-1"/>
        </w:rPr>
        <w:t xml:space="preserve"> </w:t>
      </w:r>
      <w:r>
        <w:t>The</w:t>
      </w:r>
      <w:r>
        <w:rPr>
          <w:spacing w:val="-1"/>
        </w:rPr>
        <w:t xml:space="preserve"> </w:t>
      </w:r>
      <w:r>
        <w:t>visualization</w:t>
      </w:r>
      <w:r>
        <w:rPr>
          <w:spacing w:val="-1"/>
        </w:rPr>
        <w:t xml:space="preserve"> </w:t>
      </w:r>
      <w:r>
        <w:t>framework enables dynamic segmentation by department and overtime status.</w:t>
      </w:r>
    </w:p>
    <w:p w14:paraId="55B3EBCD" w14:textId="77777777" w:rsidR="00D43E3A" w:rsidRDefault="00D43E3A">
      <w:pPr>
        <w:pStyle w:val="BodyText"/>
      </w:pPr>
    </w:p>
    <w:p w14:paraId="726A0BAF" w14:textId="77777777" w:rsidR="00D43E3A" w:rsidRDefault="00D43E3A">
      <w:pPr>
        <w:pStyle w:val="BodyText"/>
        <w:spacing w:before="67"/>
      </w:pPr>
    </w:p>
    <w:p w14:paraId="694F2E36" w14:textId="77777777" w:rsidR="00D43E3A" w:rsidRDefault="00000000">
      <w:pPr>
        <w:pStyle w:val="Heading1"/>
        <w:numPr>
          <w:ilvl w:val="0"/>
          <w:numId w:val="2"/>
        </w:numPr>
        <w:tabs>
          <w:tab w:val="left" w:pos="465"/>
        </w:tabs>
        <w:ind w:left="465" w:hanging="330"/>
        <w:jc w:val="left"/>
      </w:pPr>
      <w:r>
        <w:rPr>
          <w:spacing w:val="-2"/>
        </w:rPr>
        <w:t>Discussion</w:t>
      </w:r>
    </w:p>
    <w:p w14:paraId="1DACAE5A" w14:textId="77777777" w:rsidR="00D43E3A" w:rsidRDefault="00D43E3A">
      <w:pPr>
        <w:pStyle w:val="BodyText"/>
        <w:spacing w:before="211"/>
        <w:rPr>
          <w:rFonts w:ascii="Arial"/>
          <w:b/>
          <w:sz w:val="22"/>
        </w:rPr>
      </w:pPr>
    </w:p>
    <w:p w14:paraId="04A97948" w14:textId="77777777" w:rsidR="00D43E3A" w:rsidRDefault="00000000">
      <w:pPr>
        <w:pStyle w:val="BodyText"/>
        <w:spacing w:line="278" w:lineRule="auto"/>
        <w:ind w:left="135" w:right="78"/>
      </w:pPr>
      <w:r>
        <w:t>The findings emphasize the importance of balancing workload with engagement enhancement strategies. The</w:t>
      </w:r>
      <w:r>
        <w:rPr>
          <w:spacing w:val="-8"/>
        </w:rPr>
        <w:t xml:space="preserve"> </w:t>
      </w:r>
      <w:r>
        <w:t>composite</w:t>
      </w:r>
      <w:r>
        <w:rPr>
          <w:spacing w:val="-8"/>
        </w:rPr>
        <w:t xml:space="preserve"> </w:t>
      </w:r>
      <w:r>
        <w:t>index</w:t>
      </w:r>
      <w:r>
        <w:rPr>
          <w:spacing w:val="-8"/>
        </w:rPr>
        <w:t xml:space="preserve"> </w:t>
      </w:r>
      <w:r>
        <w:t>approach</w:t>
      </w:r>
      <w:r>
        <w:rPr>
          <w:spacing w:val="-8"/>
        </w:rPr>
        <w:t xml:space="preserve"> </w:t>
      </w:r>
      <w:r>
        <w:t>ensures</w:t>
      </w:r>
      <w:r>
        <w:rPr>
          <w:spacing w:val="-8"/>
        </w:rPr>
        <w:t xml:space="preserve"> </w:t>
      </w:r>
      <w:r>
        <w:t>interpretability while supporting managerial decision-</w:t>
      </w:r>
      <w:proofErr w:type="spellStart"/>
      <w:proofErr w:type="gramStart"/>
      <w:r>
        <w:t>making.The</w:t>
      </w:r>
      <w:proofErr w:type="spellEnd"/>
      <w:proofErr w:type="gramEnd"/>
    </w:p>
    <w:p w14:paraId="749E76AD" w14:textId="77777777" w:rsidR="00D43E3A" w:rsidRDefault="00000000">
      <w:pPr>
        <w:pStyle w:val="BodyText"/>
        <w:spacing w:before="81" w:line="278" w:lineRule="auto"/>
        <w:ind w:left="256" w:right="176"/>
      </w:pPr>
      <w:r>
        <w:br w:type="column"/>
      </w:r>
      <w:r>
        <w:t>findings emphasize the importance of balancing workload with engagement enhancement strategies. The</w:t>
      </w:r>
      <w:r>
        <w:rPr>
          <w:spacing w:val="-7"/>
        </w:rPr>
        <w:t xml:space="preserve"> </w:t>
      </w:r>
      <w:r>
        <w:t>composite</w:t>
      </w:r>
      <w:r>
        <w:rPr>
          <w:spacing w:val="-7"/>
        </w:rPr>
        <w:t xml:space="preserve"> </w:t>
      </w:r>
      <w:r>
        <w:t>index</w:t>
      </w:r>
      <w:r>
        <w:rPr>
          <w:spacing w:val="-7"/>
        </w:rPr>
        <w:t xml:space="preserve"> </w:t>
      </w:r>
      <w:r>
        <w:t>approach</w:t>
      </w:r>
      <w:r>
        <w:rPr>
          <w:spacing w:val="-7"/>
        </w:rPr>
        <w:t xml:space="preserve"> </w:t>
      </w:r>
      <w:r>
        <w:t>ensures</w:t>
      </w:r>
      <w:r>
        <w:rPr>
          <w:spacing w:val="-7"/>
        </w:rPr>
        <w:t xml:space="preserve"> </w:t>
      </w:r>
      <w:r>
        <w:t>interpretability while supporting managerial decision-</w:t>
      </w:r>
      <w:proofErr w:type="spellStart"/>
      <w:proofErr w:type="gramStart"/>
      <w:r>
        <w:t>making.The</w:t>
      </w:r>
      <w:proofErr w:type="spellEnd"/>
      <w:proofErr w:type="gramEnd"/>
      <w:r>
        <w:t xml:space="preserve"> findings emphasize the importance of balancing workload with engagement enhancement strategies. The</w:t>
      </w:r>
      <w:r>
        <w:rPr>
          <w:spacing w:val="-7"/>
        </w:rPr>
        <w:t xml:space="preserve"> </w:t>
      </w:r>
      <w:r>
        <w:t>composite</w:t>
      </w:r>
      <w:r>
        <w:rPr>
          <w:spacing w:val="-7"/>
        </w:rPr>
        <w:t xml:space="preserve"> </w:t>
      </w:r>
      <w:r>
        <w:t>index</w:t>
      </w:r>
      <w:r>
        <w:rPr>
          <w:spacing w:val="-7"/>
        </w:rPr>
        <w:t xml:space="preserve"> </w:t>
      </w:r>
      <w:r>
        <w:t>approach</w:t>
      </w:r>
      <w:r>
        <w:rPr>
          <w:spacing w:val="-7"/>
        </w:rPr>
        <w:t xml:space="preserve"> </w:t>
      </w:r>
      <w:r>
        <w:t>ensures</w:t>
      </w:r>
      <w:r>
        <w:rPr>
          <w:spacing w:val="-7"/>
        </w:rPr>
        <w:t xml:space="preserve"> </w:t>
      </w:r>
      <w:r>
        <w:t>interpretability while supporting managerial decision-making.</w:t>
      </w:r>
    </w:p>
    <w:p w14:paraId="7E3BBB89" w14:textId="77777777" w:rsidR="00D43E3A" w:rsidRDefault="00D43E3A">
      <w:pPr>
        <w:pStyle w:val="BodyText"/>
      </w:pPr>
    </w:p>
    <w:p w14:paraId="54967E2A" w14:textId="77777777" w:rsidR="00D43E3A" w:rsidRDefault="00D43E3A">
      <w:pPr>
        <w:pStyle w:val="BodyText"/>
        <w:spacing w:before="68"/>
      </w:pPr>
    </w:p>
    <w:p w14:paraId="2C72F3CA" w14:textId="77777777" w:rsidR="00D43E3A" w:rsidRDefault="00000000">
      <w:pPr>
        <w:pStyle w:val="Heading1"/>
        <w:numPr>
          <w:ilvl w:val="0"/>
          <w:numId w:val="2"/>
        </w:numPr>
        <w:tabs>
          <w:tab w:val="left" w:pos="647"/>
        </w:tabs>
        <w:ind w:left="647" w:hanging="391"/>
        <w:jc w:val="left"/>
      </w:pPr>
      <w:r>
        <w:rPr>
          <w:spacing w:val="-2"/>
        </w:rPr>
        <w:t>Limitations</w:t>
      </w:r>
    </w:p>
    <w:p w14:paraId="50FF60C0" w14:textId="77777777" w:rsidR="00D43E3A" w:rsidRDefault="00D43E3A">
      <w:pPr>
        <w:pStyle w:val="BodyText"/>
        <w:spacing w:before="211"/>
        <w:rPr>
          <w:rFonts w:ascii="Arial"/>
          <w:b/>
          <w:sz w:val="22"/>
        </w:rPr>
      </w:pPr>
    </w:p>
    <w:p w14:paraId="702F93D1" w14:textId="77777777" w:rsidR="00D43E3A" w:rsidRDefault="00000000">
      <w:pPr>
        <w:pStyle w:val="BodyText"/>
        <w:spacing w:line="278" w:lineRule="auto"/>
        <w:ind w:left="256" w:right="133"/>
      </w:pPr>
      <w:r>
        <w:t>The study uses structured survey-style attributes and rule-based classification rather than predictive machine learning models. Future implementations may incorporate</w:t>
      </w:r>
      <w:r>
        <w:rPr>
          <w:spacing w:val="-8"/>
        </w:rPr>
        <w:t xml:space="preserve"> </w:t>
      </w:r>
      <w:r>
        <w:t>time-series</w:t>
      </w:r>
      <w:r>
        <w:rPr>
          <w:spacing w:val="-8"/>
        </w:rPr>
        <w:t xml:space="preserve"> </w:t>
      </w:r>
      <w:r>
        <w:t>analysis</w:t>
      </w:r>
      <w:r>
        <w:rPr>
          <w:spacing w:val="-8"/>
        </w:rPr>
        <w:t xml:space="preserve"> </w:t>
      </w:r>
      <w:r>
        <w:t>and</w:t>
      </w:r>
      <w:r>
        <w:rPr>
          <w:spacing w:val="-8"/>
        </w:rPr>
        <w:t xml:space="preserve"> </w:t>
      </w:r>
      <w:r>
        <w:t>supervised</w:t>
      </w:r>
      <w:r>
        <w:rPr>
          <w:spacing w:val="-8"/>
        </w:rPr>
        <w:t xml:space="preserve"> </w:t>
      </w:r>
      <w:r>
        <w:t xml:space="preserve">learning </w:t>
      </w:r>
      <w:proofErr w:type="spellStart"/>
      <w:proofErr w:type="gramStart"/>
      <w:r>
        <w:t>approaches.The</w:t>
      </w:r>
      <w:proofErr w:type="spellEnd"/>
      <w:proofErr w:type="gramEnd"/>
      <w:r>
        <w:t xml:space="preserve"> study uses structured survey-style attributes and rule-based classification rather than predictive machine learning models. Future implementations may incorporate time-series analysis and supervised learning </w:t>
      </w:r>
      <w:proofErr w:type="spellStart"/>
      <w:proofErr w:type="gramStart"/>
      <w:r>
        <w:t>approaches.The</w:t>
      </w:r>
      <w:proofErr w:type="spellEnd"/>
      <w:proofErr w:type="gramEnd"/>
      <w:r>
        <w:t xml:space="preserve"> study uses structured survey-style attributes and rule-based classification rather than predictive machine learning models. Future implementations may incorporate</w:t>
      </w:r>
    </w:p>
    <w:p w14:paraId="6C46B29B" w14:textId="77777777" w:rsidR="00D43E3A" w:rsidRDefault="00000000">
      <w:pPr>
        <w:pStyle w:val="BodyText"/>
        <w:spacing w:line="278" w:lineRule="auto"/>
        <w:ind w:left="256" w:right="176"/>
      </w:pPr>
      <w:r>
        <w:t>time-series</w:t>
      </w:r>
      <w:r>
        <w:rPr>
          <w:spacing w:val="-9"/>
        </w:rPr>
        <w:t xml:space="preserve"> </w:t>
      </w:r>
      <w:r>
        <w:t>analysis</w:t>
      </w:r>
      <w:r>
        <w:rPr>
          <w:spacing w:val="-9"/>
        </w:rPr>
        <w:t xml:space="preserve"> </w:t>
      </w:r>
      <w:r>
        <w:t>and</w:t>
      </w:r>
      <w:r>
        <w:rPr>
          <w:spacing w:val="-9"/>
        </w:rPr>
        <w:t xml:space="preserve"> </w:t>
      </w:r>
      <w:r>
        <w:t>supervised</w:t>
      </w:r>
      <w:r>
        <w:rPr>
          <w:spacing w:val="-9"/>
        </w:rPr>
        <w:t xml:space="preserve"> </w:t>
      </w:r>
      <w:r>
        <w:t xml:space="preserve">learning </w:t>
      </w:r>
      <w:r>
        <w:rPr>
          <w:spacing w:val="-2"/>
        </w:rPr>
        <w:t>approaches.</w:t>
      </w:r>
    </w:p>
    <w:p w14:paraId="6F3EE3E9" w14:textId="77777777" w:rsidR="00D43E3A" w:rsidRDefault="00D43E3A">
      <w:pPr>
        <w:pStyle w:val="BodyText"/>
      </w:pPr>
    </w:p>
    <w:p w14:paraId="5ABA485F" w14:textId="77777777" w:rsidR="00D43E3A" w:rsidRDefault="00D43E3A">
      <w:pPr>
        <w:pStyle w:val="BodyText"/>
        <w:spacing w:before="67"/>
      </w:pPr>
    </w:p>
    <w:p w14:paraId="37773F8D" w14:textId="77777777" w:rsidR="00D43E3A" w:rsidRDefault="00000000">
      <w:pPr>
        <w:pStyle w:val="Heading1"/>
        <w:numPr>
          <w:ilvl w:val="0"/>
          <w:numId w:val="2"/>
        </w:numPr>
        <w:tabs>
          <w:tab w:val="left" w:pos="708"/>
        </w:tabs>
        <w:ind w:left="708" w:hanging="452"/>
        <w:jc w:val="left"/>
      </w:pPr>
      <w:r>
        <w:t xml:space="preserve">Conclusion and Future </w:t>
      </w:r>
      <w:r>
        <w:rPr>
          <w:spacing w:val="-2"/>
        </w:rPr>
        <w:t>Scope</w:t>
      </w:r>
    </w:p>
    <w:p w14:paraId="74CDD24C" w14:textId="77777777" w:rsidR="00D43E3A" w:rsidRDefault="00D43E3A">
      <w:pPr>
        <w:pStyle w:val="BodyText"/>
        <w:spacing w:before="212"/>
        <w:rPr>
          <w:rFonts w:ascii="Arial"/>
          <w:b/>
          <w:sz w:val="22"/>
        </w:rPr>
      </w:pPr>
    </w:p>
    <w:p w14:paraId="170991CB" w14:textId="77777777" w:rsidR="00D43E3A" w:rsidRDefault="00000000">
      <w:pPr>
        <w:pStyle w:val="BodyText"/>
        <w:spacing w:line="278" w:lineRule="auto"/>
        <w:ind w:left="256" w:right="176"/>
      </w:pPr>
      <w:r>
        <w:rPr>
          <w:noProof/>
        </w:rPr>
        <w:drawing>
          <wp:anchor distT="0" distB="0" distL="0" distR="0" simplePos="0" relativeHeight="15728640" behindDoc="0" locked="0" layoutInCell="1" allowOverlap="1" wp14:anchorId="48861836" wp14:editId="5B5BB811">
            <wp:simplePos x="0" y="0"/>
            <wp:positionH relativeFrom="page">
              <wp:posOffset>3917160</wp:posOffset>
            </wp:positionH>
            <wp:positionV relativeFrom="paragraph">
              <wp:posOffset>1974323</wp:posOffset>
            </wp:positionV>
            <wp:extent cx="3002760" cy="2252069"/>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3002760" cy="2252069"/>
                    </a:xfrm>
                    <a:prstGeom prst="rect">
                      <a:avLst/>
                    </a:prstGeom>
                  </pic:spPr>
                </pic:pic>
              </a:graphicData>
            </a:graphic>
          </wp:anchor>
        </w:drawing>
      </w:r>
      <w:r>
        <w:t>The proposed framework offers an interpretable and scalable workforce analytics solution. Future research may</w:t>
      </w:r>
      <w:r>
        <w:rPr>
          <w:spacing w:val="-7"/>
        </w:rPr>
        <w:t xml:space="preserve"> </w:t>
      </w:r>
      <w:r>
        <w:t>integrate</w:t>
      </w:r>
      <w:r>
        <w:rPr>
          <w:spacing w:val="-7"/>
        </w:rPr>
        <w:t xml:space="preserve"> </w:t>
      </w:r>
      <w:r>
        <w:t>predictive</w:t>
      </w:r>
      <w:r>
        <w:rPr>
          <w:spacing w:val="-7"/>
        </w:rPr>
        <w:t xml:space="preserve"> </w:t>
      </w:r>
      <w:r>
        <w:t>modeling,</w:t>
      </w:r>
      <w:r>
        <w:rPr>
          <w:spacing w:val="-7"/>
        </w:rPr>
        <w:t xml:space="preserve"> </w:t>
      </w:r>
      <w:r>
        <w:t>sentiment</w:t>
      </w:r>
      <w:r>
        <w:rPr>
          <w:spacing w:val="-7"/>
        </w:rPr>
        <w:t xml:space="preserve"> </w:t>
      </w:r>
      <w:r>
        <w:t xml:space="preserve">analysis, and enterprise HR system </w:t>
      </w:r>
      <w:proofErr w:type="spellStart"/>
      <w:proofErr w:type="gramStart"/>
      <w:r>
        <w:t>integration.The</w:t>
      </w:r>
      <w:proofErr w:type="spellEnd"/>
      <w:proofErr w:type="gramEnd"/>
      <w:r>
        <w:t xml:space="preserve"> proposed framework offers an interpretable and scalable workforce analytics solution. Future research may integrate predictive modeling, sentiment analysis, and enterprise HR system </w:t>
      </w:r>
      <w:proofErr w:type="spellStart"/>
      <w:proofErr w:type="gramStart"/>
      <w:r>
        <w:t>integration.The</w:t>
      </w:r>
      <w:proofErr w:type="spellEnd"/>
      <w:proofErr w:type="gramEnd"/>
      <w:r>
        <w:t xml:space="preserve"> proposed framework offers an interpretable and scalable workforce analytics solution. Future research may integrate predictive modeling, sentiment analysis, and enterprise HR system integration.</w:t>
      </w:r>
    </w:p>
    <w:p w14:paraId="652AC6AD" w14:textId="77777777" w:rsidR="00D43E3A" w:rsidRDefault="00D43E3A">
      <w:pPr>
        <w:pStyle w:val="BodyText"/>
        <w:spacing w:line="278" w:lineRule="auto"/>
        <w:sectPr w:rsidR="00D43E3A">
          <w:pgSz w:w="11910" w:h="16840"/>
          <w:pgMar w:top="1040" w:right="992" w:bottom="280" w:left="992" w:header="720" w:footer="720" w:gutter="0"/>
          <w:cols w:num="2" w:space="720" w:equalWidth="0">
            <w:col w:w="4666" w:space="375"/>
            <w:col w:w="4885"/>
          </w:cols>
        </w:sectPr>
      </w:pPr>
    </w:p>
    <w:p w14:paraId="3514C1F3" w14:textId="77777777" w:rsidR="00D43E3A" w:rsidRDefault="00000000">
      <w:pPr>
        <w:pStyle w:val="BodyText"/>
        <w:spacing w:before="81" w:line="278" w:lineRule="auto"/>
        <w:ind w:left="135" w:right="5213"/>
      </w:pPr>
      <w:r>
        <w:rPr>
          <w:rFonts w:ascii="Arial"/>
          <w:b/>
        </w:rPr>
        <w:lastRenderedPageBreak/>
        <w:t>Fig.</w:t>
      </w:r>
      <w:r>
        <w:rPr>
          <w:rFonts w:ascii="Arial"/>
          <w:b/>
          <w:spacing w:val="-8"/>
        </w:rPr>
        <w:t xml:space="preserve"> </w:t>
      </w:r>
      <w:r>
        <w:rPr>
          <w:rFonts w:ascii="Arial"/>
          <w:b/>
        </w:rPr>
        <w:t>1.</w:t>
      </w:r>
      <w:r>
        <w:rPr>
          <w:rFonts w:ascii="Arial"/>
          <w:b/>
          <w:spacing w:val="-8"/>
        </w:rPr>
        <w:t xml:space="preserve"> </w:t>
      </w:r>
      <w:r>
        <w:t>Employee</w:t>
      </w:r>
      <w:r>
        <w:rPr>
          <w:spacing w:val="-8"/>
        </w:rPr>
        <w:t xml:space="preserve"> </w:t>
      </w:r>
      <w:r>
        <w:t>Engagement,</w:t>
      </w:r>
      <w:r>
        <w:rPr>
          <w:spacing w:val="-8"/>
        </w:rPr>
        <w:t xml:space="preserve"> </w:t>
      </w:r>
      <w:r>
        <w:t>Satisfaction</w:t>
      </w:r>
      <w:r>
        <w:rPr>
          <w:spacing w:val="-8"/>
        </w:rPr>
        <w:t xml:space="preserve"> </w:t>
      </w:r>
      <w:r>
        <w:t>and</w:t>
      </w:r>
      <w:r>
        <w:rPr>
          <w:spacing w:val="-8"/>
        </w:rPr>
        <w:t xml:space="preserve"> </w:t>
      </w:r>
      <w:r>
        <w:t>Burnout Interactive Dashboard Overview.</w:t>
      </w:r>
    </w:p>
    <w:p w14:paraId="78615EB7" w14:textId="6B2E0BF2" w:rsidR="00D43E3A" w:rsidRDefault="00D43E3A">
      <w:pPr>
        <w:pStyle w:val="BodyText"/>
        <w:spacing w:before="9"/>
        <w:rPr>
          <w:sz w:val="17"/>
        </w:rPr>
      </w:pPr>
    </w:p>
    <w:p w14:paraId="2119922B" w14:textId="77777777" w:rsidR="00D43E3A" w:rsidRDefault="00D43E3A">
      <w:pPr>
        <w:pStyle w:val="BodyText"/>
        <w:spacing w:before="68"/>
      </w:pPr>
    </w:p>
    <w:p w14:paraId="6D0934A4" w14:textId="77777777" w:rsidR="00D43E3A" w:rsidRDefault="00000000">
      <w:pPr>
        <w:pStyle w:val="Heading1"/>
        <w:ind w:left="135" w:firstLine="0"/>
      </w:pPr>
      <w:r>
        <w:rPr>
          <w:spacing w:val="-2"/>
        </w:rPr>
        <w:t>References</w:t>
      </w:r>
    </w:p>
    <w:p w14:paraId="15355A30" w14:textId="77777777" w:rsidR="00D43E3A" w:rsidRDefault="00D43E3A">
      <w:pPr>
        <w:pStyle w:val="BodyText"/>
        <w:spacing w:before="211"/>
        <w:rPr>
          <w:rFonts w:ascii="Arial"/>
          <w:b/>
          <w:sz w:val="22"/>
        </w:rPr>
      </w:pPr>
    </w:p>
    <w:p w14:paraId="3AD1986A" w14:textId="77777777" w:rsidR="00D43E3A" w:rsidRDefault="00000000">
      <w:pPr>
        <w:pStyle w:val="ListParagraph"/>
        <w:numPr>
          <w:ilvl w:val="0"/>
          <w:numId w:val="1"/>
        </w:numPr>
        <w:tabs>
          <w:tab w:val="left" w:pos="385"/>
        </w:tabs>
        <w:spacing w:before="1" w:line="278" w:lineRule="auto"/>
        <w:ind w:left="135" w:right="5526" w:firstLine="0"/>
        <w:rPr>
          <w:sz w:val="18"/>
        </w:rPr>
      </w:pPr>
      <w:r>
        <w:rPr>
          <w:sz w:val="18"/>
        </w:rPr>
        <w:t>W. H. Macey and B. Schneider, 'The meaning of employee</w:t>
      </w:r>
      <w:r>
        <w:rPr>
          <w:spacing w:val="-9"/>
          <w:sz w:val="18"/>
        </w:rPr>
        <w:t xml:space="preserve"> </w:t>
      </w:r>
      <w:r>
        <w:rPr>
          <w:sz w:val="18"/>
        </w:rPr>
        <w:t>engagement,'</w:t>
      </w:r>
      <w:r>
        <w:rPr>
          <w:spacing w:val="-9"/>
          <w:sz w:val="18"/>
        </w:rPr>
        <w:t xml:space="preserve"> </w:t>
      </w:r>
      <w:r>
        <w:rPr>
          <w:sz w:val="18"/>
        </w:rPr>
        <w:t>Industrial</w:t>
      </w:r>
      <w:r>
        <w:rPr>
          <w:spacing w:val="-9"/>
          <w:sz w:val="18"/>
        </w:rPr>
        <w:t xml:space="preserve"> </w:t>
      </w:r>
      <w:r>
        <w:rPr>
          <w:sz w:val="18"/>
        </w:rPr>
        <w:t>and</w:t>
      </w:r>
      <w:r>
        <w:rPr>
          <w:spacing w:val="-9"/>
          <w:sz w:val="18"/>
        </w:rPr>
        <w:t xml:space="preserve"> </w:t>
      </w:r>
      <w:r>
        <w:rPr>
          <w:sz w:val="18"/>
        </w:rPr>
        <w:t>Organizational Psychology, 2008.</w:t>
      </w:r>
    </w:p>
    <w:p w14:paraId="15D0DE19" w14:textId="77777777" w:rsidR="00D43E3A" w:rsidRDefault="00D43E3A">
      <w:pPr>
        <w:pStyle w:val="BodyText"/>
        <w:spacing w:before="32"/>
      </w:pPr>
    </w:p>
    <w:p w14:paraId="08E5126B" w14:textId="77777777" w:rsidR="00D43E3A" w:rsidRDefault="00000000">
      <w:pPr>
        <w:pStyle w:val="ListParagraph"/>
        <w:numPr>
          <w:ilvl w:val="0"/>
          <w:numId w:val="1"/>
        </w:numPr>
        <w:tabs>
          <w:tab w:val="left" w:pos="385"/>
        </w:tabs>
        <w:spacing w:line="278" w:lineRule="auto"/>
        <w:ind w:left="135" w:right="5707" w:firstLine="0"/>
        <w:rPr>
          <w:sz w:val="18"/>
        </w:rPr>
      </w:pPr>
      <w:r>
        <w:rPr>
          <w:sz w:val="18"/>
        </w:rPr>
        <w:t>C.</w:t>
      </w:r>
      <w:r>
        <w:rPr>
          <w:spacing w:val="-5"/>
          <w:sz w:val="18"/>
        </w:rPr>
        <w:t xml:space="preserve"> </w:t>
      </w:r>
      <w:r>
        <w:rPr>
          <w:sz w:val="18"/>
        </w:rPr>
        <w:t>Maslach</w:t>
      </w:r>
      <w:r>
        <w:rPr>
          <w:spacing w:val="-5"/>
          <w:sz w:val="18"/>
        </w:rPr>
        <w:t xml:space="preserve"> </w:t>
      </w:r>
      <w:r>
        <w:rPr>
          <w:sz w:val="18"/>
        </w:rPr>
        <w:t>and</w:t>
      </w:r>
      <w:r>
        <w:rPr>
          <w:spacing w:val="-5"/>
          <w:sz w:val="18"/>
        </w:rPr>
        <w:t xml:space="preserve"> </w:t>
      </w:r>
      <w:r>
        <w:rPr>
          <w:sz w:val="18"/>
        </w:rPr>
        <w:t>M.</w:t>
      </w:r>
      <w:r>
        <w:rPr>
          <w:spacing w:val="-5"/>
          <w:sz w:val="18"/>
        </w:rPr>
        <w:t xml:space="preserve"> </w:t>
      </w:r>
      <w:r>
        <w:rPr>
          <w:sz w:val="18"/>
        </w:rPr>
        <w:t>P.</w:t>
      </w:r>
      <w:r>
        <w:rPr>
          <w:spacing w:val="-5"/>
          <w:sz w:val="18"/>
        </w:rPr>
        <w:t xml:space="preserve"> </w:t>
      </w:r>
      <w:r>
        <w:rPr>
          <w:sz w:val="18"/>
        </w:rPr>
        <w:t>Leiter,</w:t>
      </w:r>
      <w:r>
        <w:rPr>
          <w:spacing w:val="-5"/>
          <w:sz w:val="18"/>
        </w:rPr>
        <w:t xml:space="preserve"> </w:t>
      </w:r>
      <w:r>
        <w:rPr>
          <w:sz w:val="18"/>
        </w:rPr>
        <w:t>'Understanding</w:t>
      </w:r>
      <w:r>
        <w:rPr>
          <w:spacing w:val="-5"/>
          <w:sz w:val="18"/>
        </w:rPr>
        <w:t xml:space="preserve"> </w:t>
      </w:r>
      <w:r>
        <w:rPr>
          <w:sz w:val="18"/>
        </w:rPr>
        <w:t>the burnout experience,' World Psychiatry, 2016.</w:t>
      </w:r>
    </w:p>
    <w:p w14:paraId="5700423A" w14:textId="77777777" w:rsidR="00D43E3A" w:rsidRDefault="00D43E3A">
      <w:pPr>
        <w:pStyle w:val="BodyText"/>
        <w:spacing w:before="33"/>
      </w:pPr>
    </w:p>
    <w:p w14:paraId="3FF97D1E" w14:textId="77777777" w:rsidR="00D43E3A" w:rsidRDefault="00000000">
      <w:pPr>
        <w:pStyle w:val="ListParagraph"/>
        <w:numPr>
          <w:ilvl w:val="0"/>
          <w:numId w:val="1"/>
        </w:numPr>
        <w:tabs>
          <w:tab w:val="left" w:pos="385"/>
        </w:tabs>
        <w:spacing w:line="278" w:lineRule="auto"/>
        <w:ind w:left="135" w:right="6016" w:firstLine="0"/>
        <w:rPr>
          <w:sz w:val="18"/>
        </w:rPr>
      </w:pPr>
      <w:r>
        <w:rPr>
          <w:sz w:val="18"/>
        </w:rPr>
        <w:t>A.</w:t>
      </w:r>
      <w:r>
        <w:rPr>
          <w:spacing w:val="-7"/>
          <w:sz w:val="18"/>
        </w:rPr>
        <w:t xml:space="preserve"> </w:t>
      </w:r>
      <w:r>
        <w:rPr>
          <w:sz w:val="18"/>
        </w:rPr>
        <w:t>Saks,</w:t>
      </w:r>
      <w:r>
        <w:rPr>
          <w:spacing w:val="-7"/>
          <w:sz w:val="18"/>
        </w:rPr>
        <w:t xml:space="preserve"> </w:t>
      </w:r>
      <w:r>
        <w:rPr>
          <w:sz w:val="18"/>
        </w:rPr>
        <w:t>'Antecedents</w:t>
      </w:r>
      <w:r>
        <w:rPr>
          <w:spacing w:val="-7"/>
          <w:sz w:val="18"/>
        </w:rPr>
        <w:t xml:space="preserve"> </w:t>
      </w:r>
      <w:r>
        <w:rPr>
          <w:sz w:val="18"/>
        </w:rPr>
        <w:t>and</w:t>
      </w:r>
      <w:r>
        <w:rPr>
          <w:spacing w:val="-7"/>
          <w:sz w:val="18"/>
        </w:rPr>
        <w:t xml:space="preserve"> </w:t>
      </w:r>
      <w:r>
        <w:rPr>
          <w:sz w:val="18"/>
        </w:rPr>
        <w:t>consequences</w:t>
      </w:r>
      <w:r>
        <w:rPr>
          <w:spacing w:val="-7"/>
          <w:sz w:val="18"/>
        </w:rPr>
        <w:t xml:space="preserve"> </w:t>
      </w:r>
      <w:r>
        <w:rPr>
          <w:sz w:val="18"/>
        </w:rPr>
        <w:t>of employee engagement,' Journal of Managerial Psychology, 2006.</w:t>
      </w:r>
    </w:p>
    <w:p w14:paraId="6141BDC4" w14:textId="77777777" w:rsidR="00D43E3A" w:rsidRDefault="00D43E3A">
      <w:pPr>
        <w:pStyle w:val="BodyText"/>
        <w:spacing w:before="33"/>
      </w:pPr>
    </w:p>
    <w:p w14:paraId="3219E830" w14:textId="77777777" w:rsidR="00D43E3A" w:rsidRDefault="00000000">
      <w:pPr>
        <w:pStyle w:val="ListParagraph"/>
        <w:numPr>
          <w:ilvl w:val="0"/>
          <w:numId w:val="1"/>
        </w:numPr>
        <w:tabs>
          <w:tab w:val="left" w:pos="385"/>
        </w:tabs>
        <w:spacing w:line="278" w:lineRule="auto"/>
        <w:ind w:left="135" w:right="5881" w:firstLine="0"/>
        <w:rPr>
          <w:sz w:val="18"/>
        </w:rPr>
      </w:pPr>
      <w:r>
        <w:rPr>
          <w:sz w:val="18"/>
        </w:rPr>
        <w:t>T. H. Davenport and J. Harris, Competing on Analytics,</w:t>
      </w:r>
      <w:r>
        <w:rPr>
          <w:spacing w:val="-7"/>
          <w:sz w:val="18"/>
        </w:rPr>
        <w:t xml:space="preserve"> </w:t>
      </w:r>
      <w:r>
        <w:rPr>
          <w:sz w:val="18"/>
        </w:rPr>
        <w:t>Harvard</w:t>
      </w:r>
      <w:r>
        <w:rPr>
          <w:spacing w:val="-7"/>
          <w:sz w:val="18"/>
        </w:rPr>
        <w:t xml:space="preserve"> </w:t>
      </w:r>
      <w:r>
        <w:rPr>
          <w:sz w:val="18"/>
        </w:rPr>
        <w:t>Business</w:t>
      </w:r>
      <w:r>
        <w:rPr>
          <w:spacing w:val="-7"/>
          <w:sz w:val="18"/>
        </w:rPr>
        <w:t xml:space="preserve"> </w:t>
      </w:r>
      <w:r>
        <w:rPr>
          <w:sz w:val="18"/>
        </w:rPr>
        <w:t>School</w:t>
      </w:r>
      <w:r>
        <w:rPr>
          <w:spacing w:val="-7"/>
          <w:sz w:val="18"/>
        </w:rPr>
        <w:t xml:space="preserve"> </w:t>
      </w:r>
      <w:r>
        <w:rPr>
          <w:sz w:val="18"/>
        </w:rPr>
        <w:t>Press,</w:t>
      </w:r>
      <w:r>
        <w:rPr>
          <w:spacing w:val="-7"/>
          <w:sz w:val="18"/>
        </w:rPr>
        <w:t xml:space="preserve"> </w:t>
      </w:r>
      <w:r>
        <w:rPr>
          <w:sz w:val="18"/>
        </w:rPr>
        <w:t>2007.</w:t>
      </w:r>
    </w:p>
    <w:p w14:paraId="26ED4711" w14:textId="77777777" w:rsidR="00D43E3A" w:rsidRDefault="00D43E3A">
      <w:pPr>
        <w:pStyle w:val="BodyText"/>
        <w:spacing w:before="32"/>
      </w:pPr>
    </w:p>
    <w:p w14:paraId="77CC118B" w14:textId="77777777" w:rsidR="00D43E3A" w:rsidRDefault="00000000">
      <w:pPr>
        <w:pStyle w:val="ListParagraph"/>
        <w:numPr>
          <w:ilvl w:val="0"/>
          <w:numId w:val="1"/>
        </w:numPr>
        <w:tabs>
          <w:tab w:val="left" w:pos="385"/>
        </w:tabs>
        <w:spacing w:before="1" w:line="278" w:lineRule="auto"/>
        <w:ind w:left="135" w:right="5731" w:firstLine="0"/>
        <w:rPr>
          <w:sz w:val="18"/>
        </w:rPr>
      </w:pPr>
      <w:r>
        <w:rPr>
          <w:sz w:val="18"/>
        </w:rPr>
        <w:t>J.</w:t>
      </w:r>
      <w:r>
        <w:rPr>
          <w:spacing w:val="-5"/>
          <w:sz w:val="18"/>
        </w:rPr>
        <w:t xml:space="preserve"> </w:t>
      </w:r>
      <w:r>
        <w:rPr>
          <w:sz w:val="18"/>
        </w:rPr>
        <w:t>W.</w:t>
      </w:r>
      <w:r>
        <w:rPr>
          <w:spacing w:val="-5"/>
          <w:sz w:val="18"/>
        </w:rPr>
        <w:t xml:space="preserve"> </w:t>
      </w:r>
      <w:r>
        <w:rPr>
          <w:sz w:val="18"/>
        </w:rPr>
        <w:t>Creswell,</w:t>
      </w:r>
      <w:r>
        <w:rPr>
          <w:spacing w:val="-5"/>
          <w:sz w:val="18"/>
        </w:rPr>
        <w:t xml:space="preserve"> </w:t>
      </w:r>
      <w:r>
        <w:rPr>
          <w:sz w:val="18"/>
        </w:rPr>
        <w:t>Research</w:t>
      </w:r>
      <w:r>
        <w:rPr>
          <w:spacing w:val="-5"/>
          <w:sz w:val="18"/>
        </w:rPr>
        <w:t xml:space="preserve"> </w:t>
      </w:r>
      <w:r>
        <w:rPr>
          <w:sz w:val="18"/>
        </w:rPr>
        <w:t>Design,</w:t>
      </w:r>
      <w:r>
        <w:rPr>
          <w:spacing w:val="-5"/>
          <w:sz w:val="18"/>
        </w:rPr>
        <w:t xml:space="preserve"> </w:t>
      </w:r>
      <w:r>
        <w:rPr>
          <w:sz w:val="18"/>
        </w:rPr>
        <w:t>4th</w:t>
      </w:r>
      <w:r>
        <w:rPr>
          <w:spacing w:val="-5"/>
          <w:sz w:val="18"/>
        </w:rPr>
        <w:t xml:space="preserve"> </w:t>
      </w:r>
      <w:r>
        <w:rPr>
          <w:sz w:val="18"/>
        </w:rPr>
        <w:t>ed.,</w:t>
      </w:r>
      <w:r>
        <w:rPr>
          <w:spacing w:val="-5"/>
          <w:sz w:val="18"/>
        </w:rPr>
        <w:t xml:space="preserve"> </w:t>
      </w:r>
      <w:r>
        <w:rPr>
          <w:sz w:val="18"/>
        </w:rPr>
        <w:t>Sage Publications, 2014.</w:t>
      </w:r>
    </w:p>
    <w:p w14:paraId="6AC9EE71" w14:textId="77777777" w:rsidR="00D43E3A" w:rsidRDefault="00D43E3A">
      <w:pPr>
        <w:pStyle w:val="BodyText"/>
        <w:spacing w:before="32"/>
      </w:pPr>
    </w:p>
    <w:p w14:paraId="5FCD4316" w14:textId="77777777" w:rsidR="00D43E3A" w:rsidRDefault="00000000">
      <w:pPr>
        <w:pStyle w:val="ListParagraph"/>
        <w:numPr>
          <w:ilvl w:val="0"/>
          <w:numId w:val="1"/>
        </w:numPr>
        <w:tabs>
          <w:tab w:val="left" w:pos="385"/>
        </w:tabs>
        <w:spacing w:line="278" w:lineRule="auto"/>
        <w:ind w:left="135" w:right="5581" w:firstLine="0"/>
        <w:rPr>
          <w:sz w:val="18"/>
        </w:rPr>
      </w:pPr>
      <w:r>
        <w:rPr>
          <w:sz w:val="18"/>
        </w:rPr>
        <w:t>R. Kaplan and D. Norton, Strategy-Focused Organization,</w:t>
      </w:r>
      <w:r>
        <w:rPr>
          <w:spacing w:val="-7"/>
          <w:sz w:val="18"/>
        </w:rPr>
        <w:t xml:space="preserve"> </w:t>
      </w:r>
      <w:r>
        <w:rPr>
          <w:sz w:val="18"/>
        </w:rPr>
        <w:t>Harvard</w:t>
      </w:r>
      <w:r>
        <w:rPr>
          <w:spacing w:val="-7"/>
          <w:sz w:val="18"/>
        </w:rPr>
        <w:t xml:space="preserve"> </w:t>
      </w:r>
      <w:r>
        <w:rPr>
          <w:sz w:val="18"/>
        </w:rPr>
        <w:t>Business</w:t>
      </w:r>
      <w:r>
        <w:rPr>
          <w:spacing w:val="-7"/>
          <w:sz w:val="18"/>
        </w:rPr>
        <w:t xml:space="preserve"> </w:t>
      </w:r>
      <w:r>
        <w:rPr>
          <w:sz w:val="18"/>
        </w:rPr>
        <w:t>School</w:t>
      </w:r>
      <w:r>
        <w:rPr>
          <w:spacing w:val="-7"/>
          <w:sz w:val="18"/>
        </w:rPr>
        <w:t xml:space="preserve"> </w:t>
      </w:r>
      <w:r>
        <w:rPr>
          <w:sz w:val="18"/>
        </w:rPr>
        <w:t>Press,</w:t>
      </w:r>
      <w:r>
        <w:rPr>
          <w:spacing w:val="-7"/>
          <w:sz w:val="18"/>
        </w:rPr>
        <w:t xml:space="preserve"> </w:t>
      </w:r>
      <w:r>
        <w:rPr>
          <w:sz w:val="18"/>
        </w:rPr>
        <w:t>2001.</w:t>
      </w:r>
    </w:p>
    <w:p w14:paraId="60937B55" w14:textId="77777777" w:rsidR="00D43E3A" w:rsidRDefault="00D43E3A">
      <w:pPr>
        <w:pStyle w:val="BodyText"/>
        <w:spacing w:before="33"/>
      </w:pPr>
    </w:p>
    <w:p w14:paraId="14EF4BA4" w14:textId="77777777" w:rsidR="00D43E3A" w:rsidRDefault="00000000">
      <w:pPr>
        <w:pStyle w:val="ListParagraph"/>
        <w:numPr>
          <w:ilvl w:val="0"/>
          <w:numId w:val="1"/>
        </w:numPr>
        <w:tabs>
          <w:tab w:val="left" w:pos="385"/>
        </w:tabs>
        <w:spacing w:line="278" w:lineRule="auto"/>
        <w:ind w:left="135" w:right="5721" w:firstLine="0"/>
        <w:rPr>
          <w:sz w:val="18"/>
        </w:rPr>
      </w:pPr>
      <w:r>
        <w:rPr>
          <w:sz w:val="18"/>
        </w:rPr>
        <w:t>G.</w:t>
      </w:r>
      <w:r>
        <w:rPr>
          <w:spacing w:val="-6"/>
          <w:sz w:val="18"/>
        </w:rPr>
        <w:t xml:space="preserve"> </w:t>
      </w:r>
      <w:r>
        <w:rPr>
          <w:sz w:val="18"/>
        </w:rPr>
        <w:t>Shmueli,</w:t>
      </w:r>
      <w:r>
        <w:rPr>
          <w:spacing w:val="-6"/>
          <w:sz w:val="18"/>
        </w:rPr>
        <w:t xml:space="preserve"> </w:t>
      </w:r>
      <w:r>
        <w:rPr>
          <w:sz w:val="18"/>
        </w:rPr>
        <w:t>Data</w:t>
      </w:r>
      <w:r>
        <w:rPr>
          <w:spacing w:val="-6"/>
          <w:sz w:val="18"/>
        </w:rPr>
        <w:t xml:space="preserve"> </w:t>
      </w:r>
      <w:r>
        <w:rPr>
          <w:sz w:val="18"/>
        </w:rPr>
        <w:t>Mining</w:t>
      </w:r>
      <w:r>
        <w:rPr>
          <w:spacing w:val="-6"/>
          <w:sz w:val="18"/>
        </w:rPr>
        <w:t xml:space="preserve"> </w:t>
      </w:r>
      <w:r>
        <w:rPr>
          <w:sz w:val="18"/>
        </w:rPr>
        <w:t>for</w:t>
      </w:r>
      <w:r>
        <w:rPr>
          <w:spacing w:val="-6"/>
          <w:sz w:val="18"/>
        </w:rPr>
        <w:t xml:space="preserve"> </w:t>
      </w:r>
      <w:r>
        <w:rPr>
          <w:sz w:val="18"/>
        </w:rPr>
        <w:t>Business</w:t>
      </w:r>
      <w:r>
        <w:rPr>
          <w:spacing w:val="-6"/>
          <w:sz w:val="18"/>
        </w:rPr>
        <w:t xml:space="preserve"> </w:t>
      </w:r>
      <w:r>
        <w:rPr>
          <w:sz w:val="18"/>
        </w:rPr>
        <w:t>Analytics, Wiley, 2016.</w:t>
      </w:r>
    </w:p>
    <w:p w14:paraId="3B358B4D" w14:textId="77777777" w:rsidR="00D43E3A" w:rsidRDefault="00D43E3A">
      <w:pPr>
        <w:pStyle w:val="BodyText"/>
        <w:spacing w:before="33"/>
      </w:pPr>
    </w:p>
    <w:p w14:paraId="102DCFB5" w14:textId="77777777" w:rsidR="00D43E3A" w:rsidRDefault="00000000">
      <w:pPr>
        <w:pStyle w:val="ListParagraph"/>
        <w:numPr>
          <w:ilvl w:val="0"/>
          <w:numId w:val="1"/>
        </w:numPr>
        <w:tabs>
          <w:tab w:val="left" w:pos="385"/>
        </w:tabs>
        <w:spacing w:line="278" w:lineRule="auto"/>
        <w:ind w:left="135" w:right="5951" w:firstLine="0"/>
        <w:rPr>
          <w:sz w:val="18"/>
        </w:rPr>
      </w:pPr>
      <w:r>
        <w:rPr>
          <w:sz w:val="18"/>
        </w:rPr>
        <w:t>IEEE</w:t>
      </w:r>
      <w:r>
        <w:rPr>
          <w:spacing w:val="-7"/>
          <w:sz w:val="18"/>
        </w:rPr>
        <w:t xml:space="preserve"> </w:t>
      </w:r>
      <w:r>
        <w:rPr>
          <w:sz w:val="18"/>
        </w:rPr>
        <w:t>Editorial</w:t>
      </w:r>
      <w:r>
        <w:rPr>
          <w:spacing w:val="-7"/>
          <w:sz w:val="18"/>
        </w:rPr>
        <w:t xml:space="preserve"> </w:t>
      </w:r>
      <w:r>
        <w:rPr>
          <w:sz w:val="18"/>
        </w:rPr>
        <w:t>Style</w:t>
      </w:r>
      <w:r>
        <w:rPr>
          <w:spacing w:val="-7"/>
          <w:sz w:val="18"/>
        </w:rPr>
        <w:t xml:space="preserve"> </w:t>
      </w:r>
      <w:r>
        <w:rPr>
          <w:sz w:val="18"/>
        </w:rPr>
        <w:t>Manual,</w:t>
      </w:r>
      <w:r>
        <w:rPr>
          <w:spacing w:val="-7"/>
          <w:sz w:val="18"/>
        </w:rPr>
        <w:t xml:space="preserve"> </w:t>
      </w:r>
      <w:r>
        <w:rPr>
          <w:sz w:val="18"/>
        </w:rPr>
        <w:t>IEEE</w:t>
      </w:r>
      <w:r>
        <w:rPr>
          <w:spacing w:val="-7"/>
          <w:sz w:val="18"/>
        </w:rPr>
        <w:t xml:space="preserve"> </w:t>
      </w:r>
      <w:r>
        <w:rPr>
          <w:sz w:val="18"/>
        </w:rPr>
        <w:t>Standards Association, 2023.</w:t>
      </w:r>
    </w:p>
    <w:sectPr w:rsidR="00D43E3A">
      <w:pgSz w:w="11910" w:h="16840"/>
      <w:pgMar w:top="1040" w:right="992" w:bottom="280" w:left="99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4550B5"/>
    <w:multiLevelType w:val="hybridMultilevel"/>
    <w:tmpl w:val="E488BA58"/>
    <w:lvl w:ilvl="0" w:tplc="54DE4BFE">
      <w:start w:val="1"/>
      <w:numFmt w:val="upperRoman"/>
      <w:lvlText w:val="%1."/>
      <w:lvlJc w:val="left"/>
      <w:pPr>
        <w:ind w:left="319" w:hanging="184"/>
        <w:jc w:val="right"/>
      </w:pPr>
      <w:rPr>
        <w:rFonts w:ascii="Arial" w:eastAsia="Arial" w:hAnsi="Arial" w:cs="Arial" w:hint="default"/>
        <w:b/>
        <w:bCs/>
        <w:i w:val="0"/>
        <w:iCs w:val="0"/>
        <w:spacing w:val="0"/>
        <w:w w:val="100"/>
        <w:sz w:val="22"/>
        <w:szCs w:val="22"/>
        <w:lang w:val="en-US" w:eastAsia="en-US" w:bidi="ar-SA"/>
      </w:rPr>
    </w:lvl>
    <w:lvl w:ilvl="1" w:tplc="ABF20898">
      <w:numFmt w:val="bullet"/>
      <w:lvlText w:val="•"/>
      <w:lvlJc w:val="left"/>
      <w:pPr>
        <w:ind w:left="753" w:hanging="184"/>
      </w:pPr>
      <w:rPr>
        <w:rFonts w:hint="default"/>
        <w:lang w:val="en-US" w:eastAsia="en-US" w:bidi="ar-SA"/>
      </w:rPr>
    </w:lvl>
    <w:lvl w:ilvl="2" w:tplc="146CBD84">
      <w:numFmt w:val="bullet"/>
      <w:lvlText w:val="•"/>
      <w:lvlJc w:val="left"/>
      <w:pPr>
        <w:ind w:left="1187" w:hanging="184"/>
      </w:pPr>
      <w:rPr>
        <w:rFonts w:hint="default"/>
        <w:lang w:val="en-US" w:eastAsia="en-US" w:bidi="ar-SA"/>
      </w:rPr>
    </w:lvl>
    <w:lvl w:ilvl="3" w:tplc="24566106">
      <w:numFmt w:val="bullet"/>
      <w:lvlText w:val="•"/>
      <w:lvlJc w:val="left"/>
      <w:pPr>
        <w:ind w:left="1621" w:hanging="184"/>
      </w:pPr>
      <w:rPr>
        <w:rFonts w:hint="default"/>
        <w:lang w:val="en-US" w:eastAsia="en-US" w:bidi="ar-SA"/>
      </w:rPr>
    </w:lvl>
    <w:lvl w:ilvl="4" w:tplc="8A54359E">
      <w:numFmt w:val="bullet"/>
      <w:lvlText w:val="•"/>
      <w:lvlJc w:val="left"/>
      <w:pPr>
        <w:ind w:left="2055" w:hanging="184"/>
      </w:pPr>
      <w:rPr>
        <w:rFonts w:hint="default"/>
        <w:lang w:val="en-US" w:eastAsia="en-US" w:bidi="ar-SA"/>
      </w:rPr>
    </w:lvl>
    <w:lvl w:ilvl="5" w:tplc="352676FE">
      <w:numFmt w:val="bullet"/>
      <w:lvlText w:val="•"/>
      <w:lvlJc w:val="left"/>
      <w:pPr>
        <w:ind w:left="2489" w:hanging="184"/>
      </w:pPr>
      <w:rPr>
        <w:rFonts w:hint="default"/>
        <w:lang w:val="en-US" w:eastAsia="en-US" w:bidi="ar-SA"/>
      </w:rPr>
    </w:lvl>
    <w:lvl w:ilvl="6" w:tplc="4B847936">
      <w:numFmt w:val="bullet"/>
      <w:lvlText w:val="•"/>
      <w:lvlJc w:val="left"/>
      <w:pPr>
        <w:ind w:left="2923" w:hanging="184"/>
      </w:pPr>
      <w:rPr>
        <w:rFonts w:hint="default"/>
        <w:lang w:val="en-US" w:eastAsia="en-US" w:bidi="ar-SA"/>
      </w:rPr>
    </w:lvl>
    <w:lvl w:ilvl="7" w:tplc="6AD84A10">
      <w:numFmt w:val="bullet"/>
      <w:lvlText w:val="•"/>
      <w:lvlJc w:val="left"/>
      <w:pPr>
        <w:ind w:left="3356" w:hanging="184"/>
      </w:pPr>
      <w:rPr>
        <w:rFonts w:hint="default"/>
        <w:lang w:val="en-US" w:eastAsia="en-US" w:bidi="ar-SA"/>
      </w:rPr>
    </w:lvl>
    <w:lvl w:ilvl="8" w:tplc="CA0CE9F0">
      <w:numFmt w:val="bullet"/>
      <w:lvlText w:val="•"/>
      <w:lvlJc w:val="left"/>
      <w:pPr>
        <w:ind w:left="3790" w:hanging="184"/>
      </w:pPr>
      <w:rPr>
        <w:rFonts w:hint="default"/>
        <w:lang w:val="en-US" w:eastAsia="en-US" w:bidi="ar-SA"/>
      </w:rPr>
    </w:lvl>
  </w:abstractNum>
  <w:abstractNum w:abstractNumId="1" w15:restartNumberingAfterBreak="0">
    <w:nsid w:val="2F68669C"/>
    <w:multiLevelType w:val="hybridMultilevel"/>
    <w:tmpl w:val="933CED80"/>
    <w:lvl w:ilvl="0" w:tplc="FC1EAFB8">
      <w:start w:val="1"/>
      <w:numFmt w:val="decimal"/>
      <w:lvlText w:val="[%1]"/>
      <w:lvlJc w:val="left"/>
      <w:pPr>
        <w:ind w:left="136" w:hanging="251"/>
        <w:jc w:val="left"/>
      </w:pPr>
      <w:rPr>
        <w:rFonts w:ascii="Arial MT" w:eastAsia="Arial MT" w:hAnsi="Arial MT" w:cs="Arial MT" w:hint="default"/>
        <w:b w:val="0"/>
        <w:bCs w:val="0"/>
        <w:i w:val="0"/>
        <w:iCs w:val="0"/>
        <w:spacing w:val="0"/>
        <w:w w:val="100"/>
        <w:sz w:val="18"/>
        <w:szCs w:val="18"/>
        <w:lang w:val="en-US" w:eastAsia="en-US" w:bidi="ar-SA"/>
      </w:rPr>
    </w:lvl>
    <w:lvl w:ilvl="1" w:tplc="B0A8AB7E">
      <w:numFmt w:val="bullet"/>
      <w:lvlText w:val="•"/>
      <w:lvlJc w:val="left"/>
      <w:pPr>
        <w:ind w:left="1118" w:hanging="251"/>
      </w:pPr>
      <w:rPr>
        <w:rFonts w:hint="default"/>
        <w:lang w:val="en-US" w:eastAsia="en-US" w:bidi="ar-SA"/>
      </w:rPr>
    </w:lvl>
    <w:lvl w:ilvl="2" w:tplc="A2E0187C">
      <w:numFmt w:val="bullet"/>
      <w:lvlText w:val="•"/>
      <w:lvlJc w:val="left"/>
      <w:pPr>
        <w:ind w:left="2096" w:hanging="251"/>
      </w:pPr>
      <w:rPr>
        <w:rFonts w:hint="default"/>
        <w:lang w:val="en-US" w:eastAsia="en-US" w:bidi="ar-SA"/>
      </w:rPr>
    </w:lvl>
    <w:lvl w:ilvl="3" w:tplc="985A44E0">
      <w:numFmt w:val="bullet"/>
      <w:lvlText w:val="•"/>
      <w:lvlJc w:val="left"/>
      <w:pPr>
        <w:ind w:left="3074" w:hanging="251"/>
      </w:pPr>
      <w:rPr>
        <w:rFonts w:hint="default"/>
        <w:lang w:val="en-US" w:eastAsia="en-US" w:bidi="ar-SA"/>
      </w:rPr>
    </w:lvl>
    <w:lvl w:ilvl="4" w:tplc="A0B249B2">
      <w:numFmt w:val="bullet"/>
      <w:lvlText w:val="•"/>
      <w:lvlJc w:val="left"/>
      <w:pPr>
        <w:ind w:left="4052" w:hanging="251"/>
      </w:pPr>
      <w:rPr>
        <w:rFonts w:hint="default"/>
        <w:lang w:val="en-US" w:eastAsia="en-US" w:bidi="ar-SA"/>
      </w:rPr>
    </w:lvl>
    <w:lvl w:ilvl="5" w:tplc="84926D34">
      <w:numFmt w:val="bullet"/>
      <w:lvlText w:val="•"/>
      <w:lvlJc w:val="left"/>
      <w:pPr>
        <w:ind w:left="5030" w:hanging="251"/>
      </w:pPr>
      <w:rPr>
        <w:rFonts w:hint="default"/>
        <w:lang w:val="en-US" w:eastAsia="en-US" w:bidi="ar-SA"/>
      </w:rPr>
    </w:lvl>
    <w:lvl w:ilvl="6" w:tplc="0652EFB0">
      <w:numFmt w:val="bullet"/>
      <w:lvlText w:val="•"/>
      <w:lvlJc w:val="left"/>
      <w:pPr>
        <w:ind w:left="6008" w:hanging="251"/>
      </w:pPr>
      <w:rPr>
        <w:rFonts w:hint="default"/>
        <w:lang w:val="en-US" w:eastAsia="en-US" w:bidi="ar-SA"/>
      </w:rPr>
    </w:lvl>
    <w:lvl w:ilvl="7" w:tplc="B45800A2">
      <w:numFmt w:val="bullet"/>
      <w:lvlText w:val="•"/>
      <w:lvlJc w:val="left"/>
      <w:pPr>
        <w:ind w:left="6987" w:hanging="251"/>
      </w:pPr>
      <w:rPr>
        <w:rFonts w:hint="default"/>
        <w:lang w:val="en-US" w:eastAsia="en-US" w:bidi="ar-SA"/>
      </w:rPr>
    </w:lvl>
    <w:lvl w:ilvl="8" w:tplc="BEA67EE2">
      <w:numFmt w:val="bullet"/>
      <w:lvlText w:val="•"/>
      <w:lvlJc w:val="left"/>
      <w:pPr>
        <w:ind w:left="7965" w:hanging="251"/>
      </w:pPr>
      <w:rPr>
        <w:rFonts w:hint="default"/>
        <w:lang w:val="en-US" w:eastAsia="en-US" w:bidi="ar-SA"/>
      </w:rPr>
    </w:lvl>
  </w:abstractNum>
  <w:num w:numId="1" w16cid:durableId="370344308">
    <w:abstractNumId w:val="1"/>
  </w:num>
  <w:num w:numId="2" w16cid:durableId="3855708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D43E3A"/>
    <w:rsid w:val="00D43E3A"/>
    <w:rsid w:val="00D8769D"/>
    <w:rsid w:val="00EC6ED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536CAF"/>
  <w15:docId w15:val="{4731B7A8-77A9-45D5-B1F0-E11C574DCC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ind w:left="465" w:hanging="330"/>
      <w:outlineLvl w:val="0"/>
    </w:pPr>
    <w:rPr>
      <w:rFonts w:ascii="Arial" w:eastAsia="Arial" w:hAnsi="Arial" w:cs="Arial"/>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8"/>
      <w:szCs w:val="18"/>
    </w:rPr>
  </w:style>
  <w:style w:type="paragraph" w:styleId="Title">
    <w:name w:val="Title"/>
    <w:basedOn w:val="Normal"/>
    <w:uiPriority w:val="10"/>
    <w:qFormat/>
    <w:pPr>
      <w:spacing w:before="92"/>
      <w:ind w:left="161" w:right="57"/>
      <w:jc w:val="center"/>
    </w:pPr>
    <w:rPr>
      <w:rFonts w:ascii="Arial" w:eastAsia="Arial" w:hAnsi="Arial" w:cs="Arial"/>
      <w:b/>
      <w:bCs/>
      <w:sz w:val="36"/>
      <w:szCs w:val="36"/>
    </w:rPr>
  </w:style>
  <w:style w:type="paragraph" w:styleId="ListParagraph">
    <w:name w:val="List Paragraph"/>
    <w:basedOn w:val="Normal"/>
    <w:uiPriority w:val="1"/>
    <w:qFormat/>
    <w:pPr>
      <w:ind w:left="135"/>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1428</Words>
  <Characters>8144</Characters>
  <Application>Microsoft Office Word</Application>
  <DocSecurity>0</DocSecurity>
  <Lines>67</Lines>
  <Paragraphs>19</Paragraphs>
  <ScaleCrop>false</ScaleCrop>
  <Company/>
  <LinksUpToDate>false</LinksUpToDate>
  <CharactersWithSpaces>9553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lastModifiedBy>Samanvitha B</cp:lastModifiedBy>
  <cp:revision>2</cp:revision>
  <dcterms:created xsi:type="dcterms:W3CDTF">2026-03-02T09:56:00Z</dcterms:created>
  <dcterms:modified xsi:type="dcterms:W3CDTF">2026-03-02T09:57:00Z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2026-03-02T00:00:00Z</vt:filetime>
  </property>
  <property fmtid="{D5CDD505-2E9C-101B-9397-08002B2CF9AE}" pid="3" name="Creator">
    <vt:lpwstr>(unspecified)</vt:lpwstr>
  </property>
  <property fmtid="{D5CDD505-2E9C-101B-9397-08002B2CF9AE}" pid="4" name="LastSaved">
    <vt:filetime>2026-03-02T00:00:00Z</vt:filetime>
  </property>
  <property fmtid="{D5CDD505-2E9C-101B-9397-08002B2CF9AE}" pid="5" name="Producer">
    <vt:lpwstr>ReportLab PDF Library - www.reportlab.com</vt:lpwstr>
  </property>
  <property fmtid="{D5CDD505-2E9C-101B-9397-08002B2CF9AE}" pid="6" name="GrammarlyDocumentId">
    <vt:lpwstr>77c9a34d-e3ad-47ba-b798-d985bc7f223a</vt:lpwstr>
  </property>
</Properties>
</file>