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after="120"/>
        <w:jc w:val="center"/>
      </w:pPr>
      <w:r>
        <w:rPr>
          <w:rFonts w:ascii="Times New Roman" w:hAnsi="Times New Roman" w:eastAsia="Times New Roman"/>
          <w:b/>
          <w:sz w:val="36"/>
        </w:rPr>
        <w:t>Digital Cemeteries: Forecasting the Scale and Cost of Deceased Social-Media Accounts</w:t>
      </w:r>
    </w:p>
    <w:p>
      <w:pPr>
        <w:spacing w:after="40"/>
        <w:jc w:val="center"/>
      </w:pPr>
      <w:r>
        <w:rPr>
          <w:rFonts w:ascii="Times New Roman" w:hAnsi="Times New Roman" w:eastAsia="Times New Roman"/>
          <w:sz w:val="20"/>
        </w:rPr>
        <w:t>Samandar Mukhammadiev</w:t>
      </w:r>
    </w:p>
    <w:p>
      <w:pPr>
        <w:spacing w:after="160"/>
        <w:jc w:val="center"/>
      </w:pPr>
      <w:r>
        <w:rPr>
          <w:rFonts w:ascii="Times New Roman" w:hAnsi="Times New Roman" w:eastAsia="Times New Roman"/>
          <w:sz w:val="18"/>
        </w:rPr>
        <w:t>Independent Researcher</w:t>
      </w:r>
    </w:p>
    <w:p>
      <w:pPr>
        <w:spacing w:after="80" w:line="240" w:lineRule="auto"/>
        <w:jc w:val="both"/>
      </w:pPr>
      <w:r>
        <w:rPr>
          <w:rFonts w:ascii="Times New Roman" w:hAnsi="Times New Roman" w:eastAsia="Times New Roman"/>
          <w:b/>
          <w:sz w:val="20"/>
        </w:rPr>
        <w:t xml:space="preserve">Abstract—This paper studies the long-horizon accumulation of deceased social-media accounts and proposes a governance architecture for archival handling. Using public demographic and digital-adoption sources (United Nations population projections, ITU internet-use indicators, DataReportal social-media indicators, and World Bank mortality series), we construct a scenario framework that separates person-level mortality from account-identity scaling. The quantitative contribution is a bounded model that estimates deceased-person flows by age and then maps them to platform and cross-platform identities under explicit low/base/high assumptions. The systems contribution is a policy-aware digital-cemetery architecture covering candidate detection, evidence-based verification, immutable snapshots, deduplicated storage, lawful deletion, and constrained access. Rather than claiming census-like precision, the paper provides infrastructure stress-test envelopes and highlights the assumptions that dominate uncertainty.</w:t>
      </w:r>
    </w:p>
    <w:p>
      <w:pPr>
        <w:spacing w:after="160" w:line="240" w:lineRule="auto"/>
        <w:jc w:val="both"/>
      </w:pPr>
      <w:r>
        <w:rPr>
          <w:rFonts w:ascii="Times New Roman" w:hAnsi="Times New Roman" w:eastAsia="Times New Roman"/>
          <w:b/>
          <w:sz w:val="20"/>
        </w:rPr>
        <w:t>Index Terms—digital legacy, social-media infrastructure, mortality forecasting, platform governance, archival systems</w:t>
      </w:r>
      <w:r>
        <w:rPr>
          <w:rFonts w:ascii="Times New Roman" w:hAnsi="Times New Roman" w:eastAsia="Times New Roman"/>
          <w:sz w:val="20"/>
        </w:rPr>
        <w:t xml:space="preserve"/>
      </w:r>
    </w:p>
    <w:p>
      <w:pPr>
        <w:sectPr>
          <w:pgSz w:w="12240" w:h="15840"/>
          <w:pgMar w:top="1080" w:right="900" w:bottom="1440" w:left="900" w:header="720" w:footer="720" w:gutter="0"/>
          <w:cols w:space="720"/>
          <w:docGrid w:linePitch="360"/>
        </w:sectPr>
      </w:pPr>
    </w:p>
    <w:p>
      <w:pPr>
        <w:spacing w:before="0" w:after="80" w:line="240" w:lineRule="auto"/>
        <w:ind w:firstLine="0"/>
      </w:pPr>
      <w:r>
        <w:rPr>
          <w:rFonts w:ascii="Times New Roman" w:hAnsi="Times New Roman" w:eastAsia="Times New Roman"/>
          <w:b/>
          <w:i w:val="0"/>
          <w:sz w:val="20"/>
        </w:rPr>
        <w:t>I. INTRODUCTION</w:t>
      </w:r>
    </w:p>
    <w:p>
      <w:pPr>
        <w:spacing w:before="0" w:after="120" w:line="240" w:lineRule="auto"/>
        <w:ind w:firstLine="216"/>
      </w:pPr>
      <w:r>
        <w:rPr>
          <w:rFonts w:ascii="Times New Roman" w:hAnsi="Times New Roman" w:eastAsia="Times New Roman"/>
          <w:b w:val="0"/>
          <w:i w:val="0"/>
          <w:sz w:val="20"/>
        </w:rPr>
        <w:t>Most social platforms were engineered around active-user growth, not end-of-life account stewardship. As internet penetration approaches global saturation, account mortality is increasingly a structural platform issue rather than a corner case. Each inactive deceased account still consumes storage, indexing, backup capacity, moderation overhead, and compliance effort. At ecosystem scale, unmanaged accumulation risks degrading user experience, inflating operational expenditure, and creating unresolved legal and ethical conflicts.</w:t>
      </w:r>
    </w:p>
    <w:p>
      <w:pPr>
        <w:spacing w:before="0" w:after="120" w:line="240" w:lineRule="auto"/>
        <w:ind w:firstLine="216"/>
      </w:pPr>
      <w:r>
        <w:rPr>
          <w:rFonts w:ascii="Times New Roman" w:hAnsi="Times New Roman" w:eastAsia="Times New Roman"/>
          <w:b w:val="0"/>
          <w:i w:val="0"/>
          <w:sz w:val="20"/>
        </w:rPr>
        <w:t xml:space="preserve">This work contributes a scenario-based quantitative framework and an engineering response. First, it estimates how many deceased account identities can accumulate under transparent assumptions grounded in public datasets [1]-[4]. Second, it presents a platform architecture for migration, preservation, access control, and legal deletion. The objective is practical: preserve socially valuable digital memory while reducing uncontrolled infrastructure growth.</w:t>
      </w:r>
    </w:p>
    <w:p>
      <w:pPr>
        <w:spacing w:before="0" w:after="120" w:line="240" w:lineRule="auto"/>
        <w:ind w:firstLine="216"/>
      </w:pPr>
      <w:r>
        <w:rPr>
          <w:rFonts w:ascii="Times New Roman" w:hAnsi="Times New Roman" w:eastAsia="Times New Roman"/>
          <w:b w:val="0"/>
          <w:i w:val="0"/>
          <w:sz w:val="20"/>
        </w:rPr>
        <w:t xml:space="preserve">Prior quantitative work has shown that deceased-profile accumulation can become a platform-scale phenomenon. In particular, Ohman and Watson (2019) projected long-run growth of deceased Facebook profiles and highlighted policy implications [6]. This manuscript extends that conversation toward explicit cross-platform identity framing, archival-governance architecture, and cost-envelope modeling.</w:t>
      </w:r>
    </w:p>
    <w:p>
      <w:pPr>
        <w:spacing w:before="80" w:after="80" w:line="240" w:lineRule="auto"/>
        <w:ind w:firstLine="0"/>
      </w:pPr>
      <w:r>
        <w:rPr>
          <w:rFonts w:ascii="Times New Roman" w:hAnsi="Times New Roman" w:eastAsia="Times New Roman"/>
          <w:b/>
          <w:i w:val="0"/>
          <w:sz w:val="20"/>
        </w:rPr>
        <w:t>II. PROBLEM DEFINITION</w:t>
      </w:r>
    </w:p>
    <w:p>
      <w:pPr>
        <w:spacing w:before="0" w:after="120" w:line="240" w:lineRule="auto"/>
        <w:ind w:firstLine="216"/>
      </w:pPr>
      <w:r>
        <w:rPr>
          <w:rFonts w:ascii="Times New Roman" w:hAnsi="Times New Roman" w:eastAsia="Times New Roman"/>
          <w:b w:val="0"/>
          <w:i w:val="0"/>
          <w:sz w:val="20"/>
        </w:rPr>
        <w:t>A deceased account is defined here as an online account whose owner has physically died while the account remains hosted by the platform and has not been fully removed, transferred, or archived under a dedicated policy state. Three operational signals characterize this state: prolonged inactivity after death, continued storage and security obligations, and optional memorialization status where supported by platform policy [5].</w:t>
      </w:r>
    </w:p>
    <w:p>
      <w:pPr>
        <w:spacing w:before="0" w:after="120" w:line="240" w:lineRule="auto"/>
        <w:ind w:firstLine="216"/>
      </w:pPr>
      <w:r>
        <w:rPr>
          <w:rFonts w:ascii="Times New Roman" w:hAnsi="Times New Roman" w:eastAsia="Times New Roman"/>
          <w:b w:val="0"/>
          <w:i w:val="0"/>
          <w:sz w:val="20"/>
        </w:rPr>
        <w:t>Deletion-only handling is insufficient for two reasons. First, historical and family-memory value is lost irreversibly. Second, deletion does not solve governance design by itself because platforms still need verified death workflows, rights-aware request handling, and auditable policy decisions. The core question is therefore not whether data should disappear, but how it should be retained, constrained, and served.</w:t>
      </w:r>
    </w:p>
    <w:p>
      <w:pPr>
        <w:spacing w:before="80" w:after="80" w:line="240" w:lineRule="auto"/>
        <w:ind w:firstLine="0"/>
      </w:pPr>
      <w:r>
        <w:rPr>
          <w:rFonts w:ascii="Times New Roman" w:hAnsi="Times New Roman" w:eastAsia="Times New Roman"/>
          <w:b/>
          <w:i w:val="0"/>
          <w:sz w:val="20"/>
        </w:rPr>
        <w:t>III. DATA AND METHOD</w:t>
      </w:r>
    </w:p>
    <w:p>
      <w:pPr>
        <w:spacing w:before="40" w:after="40" w:line="240" w:lineRule="auto"/>
        <w:ind w:firstLine="0"/>
      </w:pPr>
      <w:r>
        <w:rPr>
          <w:rFonts w:ascii="Times New Roman" w:hAnsi="Times New Roman" w:eastAsia="Times New Roman"/>
          <w:b/>
          <w:i w:val="0"/>
          <w:sz w:val="20"/>
        </w:rPr>
        <w:t>A. Data Sources</w:t>
      </w:r>
    </w:p>
    <w:p>
      <w:pPr>
        <w:spacing w:before="0" w:after="120" w:line="240" w:lineRule="auto"/>
        <w:ind w:firstLine="216"/>
      </w:pPr>
      <w:r>
        <w:rPr>
          <w:rFonts w:ascii="Times New Roman" w:hAnsi="Times New Roman" w:eastAsia="Times New Roman"/>
          <w:b w:val="0"/>
          <w:i w:val="0"/>
          <w:sz w:val="20"/>
        </w:rPr>
        <w:t xml:space="preserve">Four public data families are used. Demographic baselines and life-expectancy structures are taken from United Nations World Population Prospects 2024 [1]. Internet-use penetration indicators are taken from ITU Facts and Figures 2024 [2]. Social-media identity and multi-platform usage indicators are taken from DataReportal Digital 2024 [3]. Historical crude death-rate series are taken from the World Bank indicator SP.DYN.CDRT.IN [4]. In this manuscript, mortality values are treated as observed only where explicitly available in the source series; values outside that observed horizon are scenario assumptions.</w:t>
      </w:r>
    </w:p>
    <w:p>
      <w:pPr>
        <w:spacing w:before="0" w:after="120" w:line="240" w:lineRule="auto"/>
        <w:ind w:firstLine="216"/>
      </w:pPr>
      <w:r>
        <w:rPr>
          <w:rFonts w:ascii="Times New Roman" w:hAnsi="Times New Roman" w:eastAsia="Times New Roman"/>
          <w:b w:val="0"/>
          <w:i w:val="0"/>
          <w:sz w:val="20"/>
        </w:rPr>
        <w:t xml:space="preserve">Unit definitions used throughout this paper: unique persons (demographic units), platform accounts (identities on one platform), cross-platform identities (sum of identities across platforms), memorialized accounts (policy-state deceased accounts), and archived accounts (accounts transferred to archival lifecycle). In symbol terms, U_{a,t} and D_person(.) are person-level quantities, while D_platform,t and I_t are identity-level outputs; mortality is applied to persons first, then mapped to identities.</w:t>
      </w:r>
    </w:p>
    <w:p>
      <w:pPr>
        <w:spacing w:before="40" w:after="40" w:line="240" w:lineRule="auto"/>
        <w:ind w:firstLine="0"/>
      </w:pPr>
      <w:r>
        <w:rPr>
          <w:rFonts w:ascii="Times New Roman" w:hAnsi="Times New Roman" w:eastAsia="Times New Roman"/>
          <w:b/>
          <w:i w:val="0"/>
          <w:sz w:val="20"/>
        </w:rPr>
        <w:t>B. Cohort Mortality Modeling</w:t>
      </w:r>
    </w:p>
    <w:p>
      <w:pPr>
        <w:spacing w:before="0" w:after="120" w:line="240" w:lineRule="auto"/>
        <w:ind w:firstLine="216"/>
      </w:pPr>
      <w:r>
        <w:rPr>
          <w:rFonts w:ascii="Times New Roman" w:hAnsi="Times New Roman" w:eastAsia="Times New Roman"/>
          <w:b w:val="0"/>
          <w:i w:val="0"/>
          <w:sz w:val="20"/>
        </w:rPr>
        <w:t>The analysis models four birth cohorts (1964-1980, 1980-1994, 1994-2010, and 2010-2024) totaling approximately 4.97 billion births. For each age a, expected age at death is represented as:</w:t>
      </w:r>
    </w:p>
    <w:p>
      <w:pPr>
        <w:spacing w:before="0" w:after="40" w:line="240" w:lineRule="auto"/>
        <w:ind/>
        <w:jc w:val="center"/>
      </w:pPr>
      <w:r>
        <w:rPr>
          <w:rFonts w:ascii="Times New Roman" w:hAnsi="Times New Roman" w:eastAsia="Times New Roman"/>
          <w:sz w:val="20"/>
        </w:rPr>
        <w:t xml:space="preserve">E_death(a) = a + e(a)    (1)</w:t>
      </w:r>
    </w:p>
    <w:p>
      <w:pPr>
        <w:spacing w:before="0" w:after="40"/>
        <w:jc w:val="center"/>
      </w:pPr>
      <w:r>
        <w:rPr>
          <w:rFonts w:ascii="Times New Roman" w:hAnsi="Times New Roman" w:eastAsia="Times New Roman"/>
          <w:sz w:val="20"/>
        </w:rPr>
        <w:t xml:space="preserve">M = (1/N) × Σ [x + e(x)],  x = 1…N    (2)</w:t>
      </w:r>
    </w:p>
    <w:p>
      <w:pPr>
        <w:spacing w:before="0" w:after="40"/>
        <w:jc w:val="center"/>
      </w:pPr>
      <w:r>
        <w:rPr>
          <w:rFonts w:ascii="Times New Roman" w:hAnsi="Times New Roman" w:eastAsia="Times New Roman"/>
          <w:sz w:val="20"/>
        </w:rPr>
        <w:t xml:space="preserve">year_death = P95(m) + year_birth_last    (3)</w:t>
      </w:r>
    </w:p>
    <w:p>
      <w:pPr>
        <w:spacing w:before="0" w:after="120" w:line="240" w:lineRule="auto"/>
        <w:ind w:firstLine="216"/>
      </w:pPr>
      <w:r>
        <w:t>where e(a) is remaining life expectancy at age a. Cohort mean expected age at death is computed by Eq. (2), and near-extinction year is computed by Eq. (3).</w:t>
      </w:r>
    </w:p>
    <w:p>
      <w:pPr>
        <w:spacing w:before="40" w:after="40" w:line="240" w:lineRule="auto"/>
        <w:ind w:firstLine="0"/>
      </w:pPr>
      <w:r>
        <w:rPr>
          <w:rFonts w:ascii="Times New Roman" w:hAnsi="Times New Roman" w:eastAsia="Times New Roman"/>
          <w:b/>
          <w:i w:val="0"/>
          <w:sz w:val="20"/>
        </w:rPr>
        <w:t>C. Deceased-Account Projection</w:t>
      </w:r>
    </w:p>
    <w:p>
      <w:pPr>
        <w:spacing w:before="0" w:after="120" w:line="240" w:lineRule="auto"/>
        <w:ind w:firstLine="216"/>
      </w:pPr>
      <w:r>
        <w:t xml:space="preserve">Annual deceased-person flow is modeled at age-cohort level, then mapped into platform identities. Let P_{a,t} denote population by age and year, p_internet(a,t) internet participation, p_social|internet(a,t) social-media participation conditional on internet use, and q_{a,t} age-specific mortality probability.</w:t>
      </w:r>
    </w:p>
    <w:p>
      <w:pPr>
        <w:spacing w:before="0" w:after="120"/>
        <w:jc w:val="center"/>
      </w:pPr>
      <w:r>
        <w:rPr>
          <w:rFonts w:ascii="Times New Roman" w:hAnsi="Times New Roman" w:eastAsia="Times New Roman"/>
          <w:sz w:val="20"/>
        </w:rPr>
        <w:t xml:space="preserve">U_{a,t} = P_{a,t} × p_internet(a,t) × p_social|internet(a,t)    (4)</w:t>
      </w:r>
    </w:p>
    <w:p>
      <w:pPr>
        <w:jc w:val="center"/>
      </w:pPr>
      <w:r>
        <w:rPr>
          <w:rFonts w:ascii="Times New Roman" w:hAnsi="Times New Roman" w:eastAsia="Times New Roman"/>
          <w:sz w:val="20"/>
        </w:rPr>
        <w:t xml:space="preserve">D_person(a,t) = U_{a,t} × q_{a,t}    (5)</w:t>
      </w:r>
    </w:p>
    <w:p>
      <w:pPr>
        <w:spacing w:before="0" w:after="40" w:line="240" w:lineRule="auto"/>
        <w:ind/>
        <w:jc w:val="center"/>
      </w:pPr>
      <w:r>
        <w:rPr>
          <w:rFonts w:ascii="Times New Roman" w:hAnsi="Times New Roman" w:eastAsia="Times New Roman"/>
          <w:sz w:val="20"/>
        </w:rPr>
        <w:t xml:space="preserve">D_person(t) = Σ_a D_person(a,t)    (6)</w:t>
      </w:r>
    </w:p>
    <w:p>
      <w:pPr>
        <w:spacing w:before="0" w:after="40" w:line="240" w:lineRule="auto"/>
        <w:ind/>
        <w:jc w:val="center"/>
      </w:pPr>
      <w:r>
        <w:rPr>
          <w:rFonts w:ascii="Times New Roman" w:hAnsi="Times New Roman" w:eastAsia="Times New Roman"/>
          <w:sz w:val="20"/>
        </w:rPr>
        <w:t xml:space="preserve">D_platform,t = D_person(t) × s_t    (7)</w:t>
      </w:r>
    </w:p>
    <w:p>
      <w:pPr>
        <w:spacing w:before="0" w:after="120" w:line="240" w:lineRule="auto"/>
        <w:ind w:firstLine="216"/>
      </w:pPr>
      <w:r>
        <w:rPr>
          <w:rFonts w:ascii="Times New Roman" w:hAnsi="Times New Roman" w:eastAsia="Times New Roman"/>
          <w:b w:val="0"/>
          <w:i w:val="0"/>
          <w:sz w:val="20"/>
        </w:rPr>
        <w:t xml:space="preserve">I_t = D_person(t) × kappa_t    (8)</w:t>
      </w:r>
    </w:p>
    <w:p>
      <w:pPr>
        <w:spacing w:before="0" w:after="120" w:line="240" w:lineRule="auto"/>
        <w:ind w:firstLine="216"/>
      </w:pPr>
      <w:r>
        <w:rPr>
          <w:rFonts w:ascii="Times New Roman" w:hAnsi="Times New Roman" w:eastAsia="Times New Roman"/>
          <w:b w:val="0"/>
          <w:i w:val="0"/>
          <w:sz w:val="20"/>
        </w:rPr>
        <w:t xml:space="preserve">S_platform(T) = Σ_{t&lt;=T} D_platform,t,    S_identity(T) = Σ_{t&lt;=T} I_t</w:t>
      </w:r>
    </w:p>
    <w:p>
      <w:pPr>
        <w:spacing w:before="0" w:after="120" w:line="240" w:lineRule="auto"/>
        <w:ind w:firstLine="216"/>
      </w:pPr>
      <w:r>
        <w:rPr>
          <w:rFonts w:ascii="Times New Roman" w:hAnsi="Times New Roman" w:eastAsia="Times New Roman"/>
          <w:b w:val="0"/>
          <w:i w:val="0"/>
          <w:sz w:val="20"/>
        </w:rPr>
        <w:t xml:space="preserve">where s_t is platform share among deceased persons, kappa_t is cross-platform identity multiplicity, and rho_t denotes archival retention share used in scenario interpretation. D_platform,t and I_t are annual identity inflows, while S_platform(T) and S_identity(T) denote cumulative archived stock up to horizon T.</w:t>
      </w:r>
    </w:p>
    <w:p>
      <w:pPr>
        <w:spacing w:before="40" w:after="40" w:line="240" w:lineRule="auto"/>
        <w:ind w:firstLine="0"/>
      </w:pPr>
      <w:r>
        <w:rPr>
          <w:rFonts w:ascii="Times New Roman" w:hAnsi="Times New Roman" w:eastAsia="Times New Roman"/>
          <w:b/>
          <w:i w:val="0"/>
          <w:sz w:val="20"/>
        </w:rPr>
        <w:t>D. Cost Exposure Model</w:t>
      </w:r>
    </w:p>
    <w:p>
      <w:pPr>
        <w:spacing w:before="0" w:after="120" w:line="240" w:lineRule="auto"/>
        <w:ind w:firstLine="216"/>
      </w:pPr>
      <w:r>
        <w:rPr>
          <w:rFonts w:ascii="Times New Roman" w:hAnsi="Times New Roman" w:eastAsia="Times New Roman"/>
          <w:b w:val="0"/>
          <w:i w:val="0"/>
          <w:sz w:val="20"/>
        </w:rPr>
        <w:t xml:space="preserve">Scenario design uses low/base/high assumptions for participation, identity multiplicity (kappa_t), and archive retention share. The 6.7 figure from [3] is used only as a survey-based anchor for kappa_t, not as a universal audited global constant.</w:t>
      </w:r>
    </w:p>
    <w:p>
      <w:pPr>
        <w:spacing w:before="0" w:after="40" w:line="240" w:lineRule="auto"/>
        <w:ind/>
        <w:jc w:val="center"/>
      </w:pPr>
      <w:r>
        <w:rPr>
          <w:rFonts w:ascii="Times New Roman" w:hAnsi="Times New Roman" w:eastAsia="Times New Roman"/>
          <w:sz w:val="20"/>
        </w:rPr>
        <w:t xml:space="preserve">C_t = C_storage,t + C_metadata,t + C_retrieval,t + C_compliance,t + C_review,t    (9)</w:t>
      </w:r>
    </w:p>
    <w:p>
      <w:pPr>
        <w:spacing w:before="0" w:after="120" w:line="240" w:lineRule="auto"/>
        <w:ind w:firstLine="216"/>
      </w:pPr>
      <w:r>
        <w:rPr>
          <w:rFonts w:ascii="Times New Roman" w:hAnsi="Times New Roman" w:eastAsia="Times New Roman"/>
          <w:b w:val="0"/>
          <w:i w:val="0"/>
          <w:sz w:val="20"/>
        </w:rPr>
        <w:t xml:space="preserve">Cost terms are scenario envelopes rather than audited platform financials; storage is evaluated across text-light, mixed-normal, and media-heavy archetypes, while metadata, retrieval, compliance, and review loads are modeled as separate operational components.</w:t>
      </w:r>
    </w:p>
    <w:p>
      <w:pPr>
        <w:spacing w:before="0" w:after="120" w:line="240" w:lineRule="auto"/>
        <w:ind w:firstLine="216"/>
      </w:pPr>
      <w:r>
        <w:rPr>
          <w:rFonts w:ascii="Times New Roman" w:hAnsi="Times New Roman" w:eastAsia="Times New Roman"/>
          <w:b w:val="0"/>
          <w:i w:val="0"/>
          <w:sz w:val="20"/>
        </w:rPr>
        <w:t xml:space="preserve">Storage-only estimates should be treated as a lower bound; broader governance burden includes metadata/index overhead, retrieval-service load, compliance handling, and human review workload.</w:t>
      </w:r>
    </w:p>
    <w:p>
      <w:pPr>
        <w:spacing w:before="40" w:after="40" w:line="240" w:lineRule="auto"/>
        <w:ind w:firstLine="0"/>
      </w:pPr>
      <w:r>
        <w:rPr>
          <w:rFonts w:ascii="Times New Roman" w:hAnsi="Times New Roman" w:eastAsia="Times New Roman"/>
          <w:b/>
          <w:i w:val="0"/>
          <w:sz w:val="20"/>
        </w:rPr>
        <w:t xml:space="preserve">E. Parameter and Scenario Transparency</w:t>
      </w:r>
    </w:p>
    <w:p>
      <w:pPr>
        <w:spacing w:before="0" w:after="120" w:line="240" w:lineRule="auto"/>
        <w:ind w:firstLine="216"/>
      </w:pPr>
      <w:r>
        <w:rPr>
          <w:rFonts w:ascii="Times New Roman" w:hAnsi="Times New Roman" w:eastAsia="Times New Roman"/>
          <w:b w:val="0"/>
          <w:i w:val="0"/>
          <w:sz w:val="20"/>
        </w:rPr>
        <w:t xml:space="preserve">Table I summarizes symbol-level provenance, units, and assumption status for fast auditability.</w:t>
      </w:r>
    </w:p>
    <w:p>
      <w:pPr>
        <w:spacing w:before="80" w:after="40" w:line="240" w:lineRule="auto"/>
        <w:ind w:firstLine="0"/>
        <w:jc w:val="center"/>
      </w:pPr>
      <w:r>
        <w:rPr>
          <w:rFonts w:ascii="Times New Roman" w:hAnsi="Times New Roman" w:eastAsia="Times New Roman"/>
          <w:b/>
          <w:sz w:val="16"/>
        </w:rPr>
        <w:t>TABLE I. Parameter Provenance and Assumption Status</w:t>
      </w:r>
    </w:p>
    <w:tbl>
      <w:tblPr>
        <w:tblStyle w:val="TableGrid"/>
        <w:tblW w:type="dxa" w:w="5000"/>
        <w:tblW w:w="0"/>
        <w:tblLook w:val="04A0" w:firstRow="1" w:lastRow="0" w:firstColumn="1" w:lastColumn="0" w:noHBand="0" w:noVBand="1"/>
        <w:tblLayout w:type="fixed"/>
        <w:tblCellMar>
          <w:left w:w="30" w:type="dxa"/>
          <w:right w:w="30" w:type="dxa"/>
        </w:tblCellMar>
      </w:tblPr>
      <w:tblGrid>
        <w:gridCol w:w="750"/>
        <w:gridCol w:w="1350"/>
        <w:gridCol w:w="500"/>
        <w:gridCol w:w="900"/>
        <w:gridCol w:w="850"/>
        <w:gridCol w:w="650"/>
      </w:tblGrid>
      <w:tr>
        <w:tc>
          <w:tcPr>
            <w:tcW w:type="dxa" w:w="750"/>
          </w:tcPr>
          <w:p>
            <w:r>
              <w:rPr>
                <w:rFonts w:ascii="Times New Roman" w:hAnsi="Times New Roman" w:eastAsia="Times New Roman"/>
                <w:b/>
                <w:sz w:val="14"/>
              </w:rPr>
              <w:t xml:space="preserve">Symbol</w:t>
            </w:r>
          </w:p>
        </w:tc>
        <w:tc>
          <w:tcPr>
            <w:tcW w:type="dxa" w:w="1350"/>
          </w:tcPr>
          <w:p>
            <w:r>
              <w:rPr>
                <w:rFonts w:ascii="Times New Roman" w:hAnsi="Times New Roman" w:eastAsia="Times New Roman"/>
                <w:b/>
                <w:sz w:val="14"/>
              </w:rPr>
              <w:t xml:space="preserve">Meaning</w:t>
            </w:r>
          </w:p>
        </w:tc>
        <w:tc>
          <w:tcPr>
            <w:tcW w:type="dxa" w:w="500"/>
          </w:tcPr>
          <w:p>
            <w:r>
              <w:rPr>
                <w:rFonts w:ascii="Times New Roman" w:hAnsi="Times New Roman" w:eastAsia="Times New Roman"/>
                <w:b/>
                <w:sz w:val="14"/>
              </w:rPr>
              <w:t xml:space="preserve">Unit</w:t>
            </w:r>
          </w:p>
        </w:tc>
        <w:tc>
          <w:tcPr>
            <w:tcW w:type="dxa" w:w="900"/>
          </w:tcPr>
          <w:p>
            <w:r>
              <w:rPr>
                <w:rFonts w:ascii="Times New Roman" w:hAnsi="Times New Roman" w:eastAsia="Times New Roman"/>
                <w:b/>
                <w:sz w:val="14"/>
              </w:rPr>
              <w:t xml:space="preserve">Baseline/Role</w:t>
            </w:r>
          </w:p>
        </w:tc>
        <w:tc>
          <w:tcPr>
            <w:tcW w:type="dxa" w:w="850"/>
          </w:tcPr>
          <w:p>
            <w:r>
              <w:rPr>
                <w:rFonts w:ascii="Times New Roman" w:hAnsi="Times New Roman" w:eastAsia="Times New Roman"/>
                <w:b/>
                <w:sz w:val="14"/>
              </w:rPr>
              <w:t xml:space="preserve">Source/Origin</w:t>
            </w:r>
          </w:p>
        </w:tc>
        <w:tc>
          <w:tcPr>
            <w:tcW w:type="dxa" w:w="650"/>
          </w:tcPr>
          <w:p>
            <w:r>
              <w:rPr>
                <w:rFonts w:ascii="Times New Roman" w:hAnsi="Times New Roman" w:eastAsia="Times New Roman"/>
                <w:b/>
                <w:sz w:val="14"/>
              </w:rPr>
              <w:t xml:space="preserve">Status</w:t>
            </w:r>
          </w:p>
        </w:tc>
      </w:tr>
      <w:tr>
        <w:tc>
          <w:tcPr>
            <w:tcW w:type="dxa" w:w="750"/>
          </w:tcPr>
          <w:p>
            <w:r>
              <w:rPr>
                <w:rFonts w:ascii="Times New Roman" w:hAnsi="Times New Roman" w:eastAsia="Times New Roman"/>
                <w:sz w:val="14"/>
              </w:rPr>
              <w:t xml:space="preserve">P_{a,t}</w:t>
            </w:r>
          </w:p>
        </w:tc>
        <w:tc>
          <w:tcPr>
            <w:tcW w:type="dxa" w:w="1350"/>
          </w:tcPr>
          <w:p>
            <w:r>
              <w:rPr>
                <w:rFonts w:ascii="Times New Roman" w:hAnsi="Times New Roman" w:eastAsia="Times New Roman"/>
                <w:sz w:val="14"/>
              </w:rPr>
              <w:t xml:space="preserve">age-year population</w:t>
            </w:r>
          </w:p>
        </w:tc>
        <w:tc>
          <w:tcPr>
            <w:tcW w:type="dxa" w:w="500"/>
          </w:tcPr>
          <w:p>
            <w:r>
              <w:rPr>
                <w:rFonts w:ascii="Times New Roman" w:hAnsi="Times New Roman" w:eastAsia="Times New Roman"/>
                <w:sz w:val="14"/>
              </w:rPr>
              <w:t xml:space="preserve">persons</w:t>
            </w:r>
          </w:p>
        </w:tc>
        <w:tc>
          <w:tcPr>
            <w:tcW w:type="dxa" w:w="900"/>
          </w:tcPr>
          <w:p>
            <w:r>
              <w:rPr>
                <w:rFonts w:ascii="Times New Roman" w:hAnsi="Times New Roman" w:eastAsia="Times New Roman"/>
                <w:sz w:val="14"/>
              </w:rPr>
              <w:t xml:space="preserve">demographic baseline</w:t>
            </w:r>
          </w:p>
        </w:tc>
        <w:tc>
          <w:tcPr>
            <w:tcW w:type="dxa" w:w="850"/>
          </w:tcPr>
          <w:p>
            <w:r>
              <w:rPr>
                <w:rFonts w:ascii="Times New Roman" w:hAnsi="Times New Roman" w:eastAsia="Times New Roman"/>
                <w:sz w:val="14"/>
              </w:rPr>
              <w:t xml:space="preserve">[1]</w:t>
            </w:r>
          </w:p>
        </w:tc>
        <w:tc>
          <w:tcPr>
            <w:tcW w:type="dxa" w:w="650"/>
          </w:tcPr>
          <w:p>
            <w:r>
              <w:rPr>
                <w:rFonts w:ascii="Times New Roman" w:hAnsi="Times New Roman" w:eastAsia="Times New Roman"/>
                <w:sz w:val="14"/>
              </w:rPr>
              <w:t xml:space="preserve">observed demographic input</w:t>
            </w:r>
          </w:p>
        </w:tc>
      </w:tr>
      <w:tr>
        <w:tc>
          <w:tcPr>
            <w:tcW w:type="dxa" w:w="750"/>
          </w:tcPr>
          <w:p>
            <w:r>
              <w:rPr>
                <w:rFonts w:ascii="Times New Roman" w:hAnsi="Times New Roman" w:eastAsia="Times New Roman"/>
                <w:sz w:val="14"/>
              </w:rPr>
              <w:t xml:space="preserve">q_{a,t}</w:t>
            </w:r>
          </w:p>
        </w:tc>
        <w:tc>
          <w:tcPr>
            <w:tcW w:type="dxa" w:w="1350"/>
          </w:tcPr>
          <w:p>
            <w:r>
              <w:rPr>
                <w:rFonts w:ascii="Times New Roman" w:hAnsi="Times New Roman" w:eastAsia="Times New Roman"/>
                <w:sz w:val="14"/>
              </w:rPr>
              <w:t xml:space="preserve">age-specific mortality prob.</w:t>
            </w:r>
          </w:p>
        </w:tc>
        <w:tc>
          <w:tcPr>
            <w:tcW w:type="dxa" w:w="500"/>
          </w:tcPr>
          <w:p>
            <w:r>
              <w:rPr>
                <w:rFonts w:ascii="Times New Roman" w:hAnsi="Times New Roman" w:eastAsia="Times New Roman"/>
                <w:sz w:val="14"/>
              </w:rPr>
              <w:t xml:space="preserve">prob.</w:t>
            </w:r>
          </w:p>
        </w:tc>
        <w:tc>
          <w:tcPr>
            <w:tcW w:type="dxa" w:w="900"/>
          </w:tcPr>
          <w:p>
            <w:r>
              <w:rPr>
                <w:rFonts w:ascii="Times New Roman" w:hAnsi="Times New Roman" w:eastAsia="Times New Roman"/>
                <w:sz w:val="14"/>
              </w:rPr>
              <w:t xml:space="preserve">mortality schedule</w:t>
            </w:r>
          </w:p>
        </w:tc>
        <w:tc>
          <w:tcPr>
            <w:tcW w:type="dxa" w:w="850"/>
          </w:tcPr>
          <w:p>
            <w:r>
              <w:rPr>
                <w:rFonts w:ascii="Times New Roman" w:hAnsi="Times New Roman" w:eastAsia="Times New Roman"/>
                <w:sz w:val="14"/>
              </w:rPr>
              <w:t xml:space="preserve">[1]</w:t>
            </w:r>
          </w:p>
        </w:tc>
        <w:tc>
          <w:tcPr>
            <w:tcW w:type="dxa" w:w="650"/>
          </w:tcPr>
          <w:p>
            <w:r>
              <w:rPr>
                <w:rFonts w:ascii="Times New Roman" w:hAnsi="Times New Roman" w:eastAsia="Times New Roman"/>
                <w:sz w:val="14"/>
              </w:rPr>
              <w:t xml:space="preserve">observed demographic input</w:t>
            </w:r>
          </w:p>
        </w:tc>
      </w:tr>
      <w:tr>
        <w:tc>
          <w:tcPr>
            <w:tcW w:type="dxa" w:w="750"/>
          </w:tcPr>
          <w:p>
            <w:r>
              <w:rPr>
                <w:rFonts w:ascii="Times New Roman" w:hAnsi="Times New Roman" w:eastAsia="Times New Roman"/>
                <w:sz w:val="14"/>
              </w:rPr>
              <w:t xml:space="preserve">p_internet(a,t)</w:t>
            </w:r>
          </w:p>
        </w:tc>
        <w:tc>
          <w:tcPr>
            <w:tcW w:type="dxa" w:w="1350"/>
          </w:tcPr>
          <w:p>
            <w:r>
              <w:rPr>
                <w:rFonts w:ascii="Times New Roman" w:hAnsi="Times New Roman" w:eastAsia="Times New Roman"/>
                <w:sz w:val="14"/>
              </w:rPr>
              <w:t xml:space="preserve">internet participation by age</w:t>
            </w:r>
          </w:p>
        </w:tc>
        <w:tc>
          <w:tcPr>
            <w:tcW w:type="dxa" w:w="500"/>
          </w:tcPr>
          <w:p>
            <w:r>
              <w:rPr>
                <w:rFonts w:ascii="Times New Roman" w:hAnsi="Times New Roman" w:eastAsia="Times New Roman"/>
                <w:sz w:val="14"/>
              </w:rPr>
              <w:t xml:space="preserve">share</w:t>
            </w:r>
          </w:p>
        </w:tc>
        <w:tc>
          <w:tcPr>
            <w:tcW w:type="dxa" w:w="900"/>
          </w:tcPr>
          <w:p>
            <w:r>
              <w:rPr>
                <w:rFonts w:ascii="Times New Roman" w:hAnsi="Times New Roman" w:eastAsia="Times New Roman"/>
                <w:sz w:val="14"/>
              </w:rPr>
              <w:t xml:space="preserve">internet-use anchor</w:t>
            </w:r>
          </w:p>
        </w:tc>
        <w:tc>
          <w:tcPr>
            <w:tcW w:type="dxa" w:w="850"/>
          </w:tcPr>
          <w:p>
            <w:r>
              <w:rPr>
                <w:rFonts w:ascii="Times New Roman" w:hAnsi="Times New Roman" w:eastAsia="Times New Roman"/>
                <w:sz w:val="14"/>
              </w:rPr>
              <w:t xml:space="preserve">[2]</w:t>
            </w:r>
          </w:p>
        </w:tc>
        <w:tc>
          <w:tcPr>
            <w:tcW w:type="dxa" w:w="650"/>
          </w:tcPr>
          <w:p>
            <w:r>
              <w:rPr>
                <w:rFonts w:ascii="Times New Roman" w:hAnsi="Times New Roman" w:eastAsia="Times New Roman"/>
                <w:sz w:val="14"/>
              </w:rPr>
              <w:t xml:space="preserve">survey-based anchor</w:t>
            </w:r>
          </w:p>
        </w:tc>
      </w:tr>
      <w:tr>
        <w:tc>
          <w:tcPr>
            <w:tcW w:type="dxa" w:w="750"/>
          </w:tcPr>
          <w:p>
            <w:r>
              <w:rPr>
                <w:rFonts w:ascii="Times New Roman" w:hAnsi="Times New Roman" w:eastAsia="Times New Roman"/>
                <w:sz w:val="14"/>
              </w:rPr>
              <w:t xml:space="preserve">p_social|internet(a,t)</w:t>
            </w:r>
          </w:p>
        </w:tc>
        <w:tc>
          <w:tcPr>
            <w:tcW w:type="dxa" w:w="1350"/>
          </w:tcPr>
          <w:p>
            <w:r>
              <w:rPr>
                <w:rFonts w:ascii="Times New Roman" w:hAnsi="Times New Roman" w:eastAsia="Times New Roman"/>
                <w:sz w:val="14"/>
              </w:rPr>
              <w:t xml:space="preserve">social participation|internet</w:t>
            </w:r>
          </w:p>
        </w:tc>
        <w:tc>
          <w:tcPr>
            <w:tcW w:type="dxa" w:w="500"/>
          </w:tcPr>
          <w:p>
            <w:r>
              <w:rPr>
                <w:rFonts w:ascii="Times New Roman" w:hAnsi="Times New Roman" w:eastAsia="Times New Roman"/>
                <w:sz w:val="14"/>
              </w:rPr>
              <w:t xml:space="preserve">share</w:t>
            </w:r>
          </w:p>
        </w:tc>
        <w:tc>
          <w:tcPr>
            <w:tcW w:type="dxa" w:w="900"/>
          </w:tcPr>
          <w:p>
            <w:r>
              <w:rPr>
                <w:rFonts w:ascii="Times New Roman" w:hAnsi="Times New Roman" w:eastAsia="Times New Roman"/>
                <w:sz w:val="14"/>
              </w:rPr>
              <w:t xml:space="preserve">social-use anchor</w:t>
            </w:r>
          </w:p>
        </w:tc>
        <w:tc>
          <w:tcPr>
            <w:tcW w:type="dxa" w:w="850"/>
          </w:tcPr>
          <w:p>
            <w:r>
              <w:rPr>
                <w:rFonts w:ascii="Times New Roman" w:hAnsi="Times New Roman" w:eastAsia="Times New Roman"/>
                <w:sz w:val="14"/>
              </w:rPr>
              <w:t xml:space="preserve">[3]</w:t>
            </w:r>
          </w:p>
        </w:tc>
        <w:tc>
          <w:tcPr>
            <w:tcW w:type="dxa" w:w="650"/>
          </w:tcPr>
          <w:p>
            <w:r>
              <w:rPr>
                <w:rFonts w:ascii="Times New Roman" w:hAnsi="Times New Roman" w:eastAsia="Times New Roman"/>
                <w:sz w:val="14"/>
              </w:rPr>
              <w:t xml:space="preserve">survey-based anchor</w:t>
            </w:r>
          </w:p>
        </w:tc>
      </w:tr>
      <w:tr>
        <w:tc>
          <w:tcPr>
            <w:tcW w:type="dxa" w:w="750"/>
          </w:tcPr>
          <w:p>
            <w:r>
              <w:rPr>
                <w:rFonts w:ascii="Times New Roman" w:hAnsi="Times New Roman" w:eastAsia="Times New Roman"/>
                <w:sz w:val="14"/>
              </w:rPr>
              <w:t xml:space="preserve">s_t</w:t>
            </w:r>
          </w:p>
        </w:tc>
        <w:tc>
          <w:tcPr>
            <w:tcW w:type="dxa" w:w="1350"/>
          </w:tcPr>
          <w:p>
            <w:r>
              <w:rPr>
                <w:rFonts w:ascii="Times New Roman" w:hAnsi="Times New Roman" w:eastAsia="Times New Roman"/>
                <w:sz w:val="14"/>
              </w:rPr>
              <w:t xml:space="preserve">platform share among deceased</w:t>
            </w:r>
          </w:p>
        </w:tc>
        <w:tc>
          <w:tcPr>
            <w:tcW w:type="dxa" w:w="500"/>
          </w:tcPr>
          <w:p>
            <w:r>
              <w:rPr>
                <w:rFonts w:ascii="Times New Roman" w:hAnsi="Times New Roman" w:eastAsia="Times New Roman"/>
                <w:sz w:val="14"/>
              </w:rPr>
              <w:t xml:space="preserve">share</w:t>
            </w:r>
          </w:p>
        </w:tc>
        <w:tc>
          <w:tcPr>
            <w:tcW w:type="dxa" w:w="900"/>
          </w:tcPr>
          <w:p>
            <w:r>
              <w:rPr>
                <w:rFonts w:ascii="Times New Roman" w:hAnsi="Times New Roman" w:eastAsia="Times New Roman"/>
                <w:sz w:val="14"/>
              </w:rPr>
              <w:t xml:space="preserve">platform-share assumption</w:t>
            </w:r>
          </w:p>
        </w:tc>
        <w:tc>
          <w:tcPr>
            <w:tcW w:type="dxa" w:w="850"/>
          </w:tcPr>
          <w:p>
            <w:r>
              <w:rPr>
                <w:rFonts w:ascii="Times New Roman" w:hAnsi="Times New Roman" w:eastAsia="Times New Roman"/>
                <w:sz w:val="14"/>
              </w:rPr>
              <w:t xml:space="preserve">scenario design</w:t>
            </w:r>
          </w:p>
        </w:tc>
        <w:tc>
          <w:tcPr>
            <w:tcW w:type="dxa" w:w="650"/>
          </w:tcPr>
          <w:p>
            <w:r>
              <w:rPr>
                <w:rFonts w:ascii="Times New Roman" w:hAnsi="Times New Roman" w:eastAsia="Times New Roman"/>
                <w:sz w:val="14"/>
              </w:rPr>
              <w:t xml:space="preserve">scenario parameter</w:t>
            </w:r>
          </w:p>
        </w:tc>
      </w:tr>
      <w:tr>
        <w:tc>
          <w:tcPr>
            <w:tcW w:type="dxa" w:w="750"/>
          </w:tcPr>
          <w:p>
            <w:r>
              <w:rPr>
                <w:rFonts w:ascii="Times New Roman" w:hAnsi="Times New Roman" w:eastAsia="Times New Roman"/>
                <w:sz w:val="14"/>
              </w:rPr>
              <w:t xml:space="preserve">kappa_t</w:t>
            </w:r>
          </w:p>
        </w:tc>
        <w:tc>
          <w:tcPr>
            <w:tcW w:type="dxa" w:w="1350"/>
          </w:tcPr>
          <w:p>
            <w:r>
              <w:rPr>
                <w:rFonts w:ascii="Times New Roman" w:hAnsi="Times New Roman" w:eastAsia="Times New Roman"/>
                <w:sz w:val="14"/>
              </w:rPr>
              <w:t xml:space="preserve">cross-platform multiplicity</w:t>
            </w:r>
          </w:p>
        </w:tc>
        <w:tc>
          <w:tcPr>
            <w:tcW w:type="dxa" w:w="500"/>
          </w:tcPr>
          <w:p>
            <w:r>
              <w:rPr>
                <w:rFonts w:ascii="Times New Roman" w:hAnsi="Times New Roman" w:eastAsia="Times New Roman"/>
                <w:sz w:val="14"/>
              </w:rPr>
              <w:t xml:space="preserve">id/person</w:t>
            </w:r>
          </w:p>
        </w:tc>
        <w:tc>
          <w:tcPr>
            <w:tcW w:type="dxa" w:w="900"/>
          </w:tcPr>
          <w:p>
            <w:r>
              <w:rPr>
                <w:rFonts w:ascii="Times New Roman" w:hAnsi="Times New Roman" w:eastAsia="Times New Roman"/>
                <w:sz w:val="14"/>
              </w:rPr>
              <w:t xml:space="preserve">multiplicity assumption</w:t>
            </w:r>
          </w:p>
        </w:tc>
        <w:tc>
          <w:tcPr>
            <w:tcW w:type="dxa" w:w="850"/>
          </w:tcPr>
          <w:p>
            <w:r>
              <w:rPr>
                <w:rFonts w:ascii="Times New Roman" w:hAnsi="Times New Roman" w:eastAsia="Times New Roman"/>
                <w:sz w:val="14"/>
              </w:rPr>
              <w:t xml:space="preserve">[3] + scenario design</w:t>
            </w:r>
          </w:p>
        </w:tc>
        <w:tc>
          <w:tcPr>
            <w:tcW w:type="dxa" w:w="650"/>
          </w:tcPr>
          <w:p>
            <w:r>
              <w:rPr>
                <w:rFonts w:ascii="Times New Roman" w:hAnsi="Times New Roman" w:eastAsia="Times New Roman"/>
                <w:sz w:val="14"/>
              </w:rPr>
              <w:t xml:space="preserve">scenario parameter</w:t>
            </w:r>
          </w:p>
        </w:tc>
      </w:tr>
      <w:tr>
        <w:tc>
          <w:tcPr>
            <w:tcW w:type="dxa" w:w="750"/>
          </w:tcPr>
          <w:p>
            <w:r>
              <w:rPr>
                <w:rFonts w:ascii="Times New Roman" w:hAnsi="Times New Roman" w:eastAsia="Times New Roman"/>
                <w:sz w:val="14"/>
              </w:rPr>
              <w:t xml:space="preserve">rho_t</w:t>
            </w:r>
          </w:p>
        </w:tc>
        <w:tc>
          <w:tcPr>
            <w:tcW w:type="dxa" w:w="1350"/>
          </w:tcPr>
          <w:p>
            <w:r>
              <w:rPr>
                <w:rFonts w:ascii="Times New Roman" w:hAnsi="Times New Roman" w:eastAsia="Times New Roman"/>
                <w:sz w:val="14"/>
              </w:rPr>
              <w:t xml:space="preserve">archival retention share</w:t>
            </w:r>
          </w:p>
        </w:tc>
        <w:tc>
          <w:tcPr>
            <w:tcW w:type="dxa" w:w="500"/>
          </w:tcPr>
          <w:p>
            <w:r>
              <w:rPr>
                <w:rFonts w:ascii="Times New Roman" w:hAnsi="Times New Roman" w:eastAsia="Times New Roman"/>
                <w:sz w:val="14"/>
              </w:rPr>
              <w:t xml:space="preserve">share</w:t>
            </w:r>
          </w:p>
        </w:tc>
        <w:tc>
          <w:tcPr>
            <w:tcW w:type="dxa" w:w="900"/>
          </w:tcPr>
          <w:p>
            <w:r>
              <w:rPr>
                <w:rFonts w:ascii="Times New Roman" w:hAnsi="Times New Roman" w:eastAsia="Times New Roman"/>
                <w:sz w:val="14"/>
              </w:rPr>
              <w:t xml:space="preserve">retention-policy assumption</w:t>
            </w:r>
          </w:p>
        </w:tc>
        <w:tc>
          <w:tcPr>
            <w:tcW w:type="dxa" w:w="850"/>
          </w:tcPr>
          <w:p>
            <w:r>
              <w:rPr>
                <w:rFonts w:ascii="Times New Roman" w:hAnsi="Times New Roman" w:eastAsia="Times New Roman"/>
                <w:sz w:val="14"/>
              </w:rPr>
              <w:t xml:space="preserve">scenario design</w:t>
            </w:r>
          </w:p>
        </w:tc>
        <w:tc>
          <w:tcPr>
            <w:tcW w:type="dxa" w:w="650"/>
          </w:tcPr>
          <w:p>
            <w:r>
              <w:rPr>
                <w:rFonts w:ascii="Times New Roman" w:hAnsi="Times New Roman" w:eastAsia="Times New Roman"/>
                <w:sz w:val="14"/>
              </w:rPr>
              <w:t xml:space="preserve">scenario parameter</w:t>
            </w:r>
          </w:p>
        </w:tc>
      </w:tr>
      <w:tr>
        <w:tc>
          <w:tcPr>
            <w:tcW w:type="dxa" w:w="750"/>
          </w:tcPr>
          <w:p>
            <w:r>
              <w:rPr>
                <w:rFonts w:ascii="Times New Roman" w:hAnsi="Times New Roman" w:eastAsia="Times New Roman"/>
                <w:sz w:val="14"/>
              </w:rPr>
              <w:t xml:space="preserve">C_storage,t</w:t>
            </w:r>
          </w:p>
        </w:tc>
        <w:tc>
          <w:tcPr>
            <w:tcW w:type="dxa" w:w="1350"/>
          </w:tcPr>
          <w:p>
            <w:r>
              <w:rPr>
                <w:rFonts w:ascii="Times New Roman" w:hAnsi="Times New Roman" w:eastAsia="Times New Roman"/>
                <w:sz w:val="14"/>
              </w:rPr>
              <w:t xml:space="preserve">storage component</w:t>
            </w:r>
          </w:p>
        </w:tc>
        <w:tc>
          <w:tcPr>
            <w:tcW w:type="dxa" w:w="500"/>
          </w:tcPr>
          <w:p>
            <w:r>
              <w:rPr>
                <w:rFonts w:ascii="Times New Roman" w:hAnsi="Times New Roman" w:eastAsia="Times New Roman"/>
                <w:sz w:val="14"/>
              </w:rPr>
              <w:t xml:space="preserve">currency/yr</w:t>
            </w:r>
          </w:p>
        </w:tc>
        <w:tc>
          <w:tcPr>
            <w:tcW w:type="dxa" w:w="900"/>
          </w:tcPr>
          <w:p>
            <w:r>
              <w:rPr>
                <w:rFonts w:ascii="Times New Roman" w:hAnsi="Times New Roman" w:eastAsia="Times New Roman"/>
                <w:sz w:val="14"/>
              </w:rPr>
              <w:t xml:space="preserve">component rate (envelope)</w:t>
            </w:r>
          </w:p>
        </w:tc>
        <w:tc>
          <w:tcPr>
            <w:tcW w:type="dxa" w:w="850"/>
          </w:tcPr>
          <w:p>
            <w:r>
              <w:rPr>
                <w:rFonts w:ascii="Times New Roman" w:hAnsi="Times New Roman" w:eastAsia="Times New Roman"/>
                <w:sz w:val="14"/>
              </w:rPr>
              <w:t xml:space="preserve">scenario design</w:t>
            </w:r>
          </w:p>
        </w:tc>
        <w:tc>
          <w:tcPr>
            <w:tcW w:type="dxa" w:w="650"/>
          </w:tcPr>
          <w:p>
            <w:r>
              <w:rPr>
                <w:rFonts w:ascii="Times New Roman" w:hAnsi="Times New Roman" w:eastAsia="Times New Roman"/>
                <w:sz w:val="14"/>
              </w:rPr>
              <w:t xml:space="preserve">cost-envelope component</w:t>
            </w:r>
          </w:p>
        </w:tc>
      </w:tr>
      <w:tr>
        <w:tc>
          <w:tcPr>
            <w:tcW w:type="dxa" w:w="750"/>
          </w:tcPr>
          <w:p>
            <w:r>
              <w:rPr>
                <w:rFonts w:ascii="Times New Roman" w:hAnsi="Times New Roman" w:eastAsia="Times New Roman"/>
                <w:sz w:val="14"/>
              </w:rPr>
              <w:t xml:space="preserve">C_metadata,t</w:t>
            </w:r>
          </w:p>
        </w:tc>
        <w:tc>
          <w:tcPr>
            <w:tcW w:type="dxa" w:w="1350"/>
          </w:tcPr>
          <w:p>
            <w:r>
              <w:rPr>
                <w:rFonts w:ascii="Times New Roman" w:hAnsi="Times New Roman" w:eastAsia="Times New Roman"/>
                <w:sz w:val="14"/>
              </w:rPr>
              <w:t xml:space="preserve">metadata component</w:t>
            </w:r>
          </w:p>
        </w:tc>
        <w:tc>
          <w:tcPr>
            <w:tcW w:type="dxa" w:w="500"/>
          </w:tcPr>
          <w:p>
            <w:r>
              <w:rPr>
                <w:rFonts w:ascii="Times New Roman" w:hAnsi="Times New Roman" w:eastAsia="Times New Roman"/>
                <w:sz w:val="14"/>
              </w:rPr>
              <w:t xml:space="preserve">currency/yr</w:t>
            </w:r>
          </w:p>
        </w:tc>
        <w:tc>
          <w:tcPr>
            <w:tcW w:type="dxa" w:w="900"/>
          </w:tcPr>
          <w:p>
            <w:r>
              <w:rPr>
                <w:rFonts w:ascii="Times New Roman" w:hAnsi="Times New Roman" w:eastAsia="Times New Roman"/>
                <w:sz w:val="14"/>
              </w:rPr>
              <w:t xml:space="preserve">component rate (envelope)</w:t>
            </w:r>
          </w:p>
        </w:tc>
        <w:tc>
          <w:tcPr>
            <w:tcW w:type="dxa" w:w="850"/>
          </w:tcPr>
          <w:p>
            <w:r>
              <w:rPr>
                <w:rFonts w:ascii="Times New Roman" w:hAnsi="Times New Roman" w:eastAsia="Times New Roman"/>
                <w:sz w:val="14"/>
              </w:rPr>
              <w:t xml:space="preserve">scenario design</w:t>
            </w:r>
          </w:p>
        </w:tc>
        <w:tc>
          <w:tcPr>
            <w:tcW w:type="dxa" w:w="650"/>
          </w:tcPr>
          <w:p>
            <w:r>
              <w:rPr>
                <w:rFonts w:ascii="Times New Roman" w:hAnsi="Times New Roman" w:eastAsia="Times New Roman"/>
                <w:sz w:val="14"/>
              </w:rPr>
              <w:t xml:space="preserve">cost-envelope component</w:t>
            </w:r>
          </w:p>
        </w:tc>
      </w:tr>
      <w:tr>
        <w:tc>
          <w:tcPr>
            <w:tcW w:type="dxa" w:w="750"/>
          </w:tcPr>
          <w:p>
            <w:r>
              <w:rPr>
                <w:rFonts w:ascii="Times New Roman" w:hAnsi="Times New Roman" w:eastAsia="Times New Roman"/>
                <w:sz w:val="14"/>
              </w:rPr>
              <w:t xml:space="preserve">C_retrieval,t</w:t>
            </w:r>
          </w:p>
        </w:tc>
        <w:tc>
          <w:tcPr>
            <w:tcW w:type="dxa" w:w="1350"/>
          </w:tcPr>
          <w:p>
            <w:r>
              <w:rPr>
                <w:rFonts w:ascii="Times New Roman" w:hAnsi="Times New Roman" w:eastAsia="Times New Roman"/>
                <w:sz w:val="14"/>
              </w:rPr>
              <w:t xml:space="preserve">retrieval component</w:t>
            </w:r>
          </w:p>
        </w:tc>
        <w:tc>
          <w:tcPr>
            <w:tcW w:type="dxa" w:w="500"/>
          </w:tcPr>
          <w:p>
            <w:r>
              <w:rPr>
                <w:rFonts w:ascii="Times New Roman" w:hAnsi="Times New Roman" w:eastAsia="Times New Roman"/>
                <w:sz w:val="14"/>
              </w:rPr>
              <w:t xml:space="preserve">currency/yr</w:t>
            </w:r>
          </w:p>
        </w:tc>
        <w:tc>
          <w:tcPr>
            <w:tcW w:type="dxa" w:w="900"/>
          </w:tcPr>
          <w:p>
            <w:r>
              <w:rPr>
                <w:rFonts w:ascii="Times New Roman" w:hAnsi="Times New Roman" w:eastAsia="Times New Roman"/>
                <w:sz w:val="14"/>
              </w:rPr>
              <w:t xml:space="preserve">component rate (envelope)</w:t>
            </w:r>
          </w:p>
        </w:tc>
        <w:tc>
          <w:tcPr>
            <w:tcW w:type="dxa" w:w="850"/>
          </w:tcPr>
          <w:p>
            <w:r>
              <w:rPr>
                <w:rFonts w:ascii="Times New Roman" w:hAnsi="Times New Roman" w:eastAsia="Times New Roman"/>
                <w:sz w:val="14"/>
              </w:rPr>
              <w:t xml:space="preserve">scenario design</w:t>
            </w:r>
          </w:p>
        </w:tc>
        <w:tc>
          <w:tcPr>
            <w:tcW w:type="dxa" w:w="650"/>
          </w:tcPr>
          <w:p>
            <w:r>
              <w:rPr>
                <w:rFonts w:ascii="Times New Roman" w:hAnsi="Times New Roman" w:eastAsia="Times New Roman"/>
                <w:sz w:val="14"/>
              </w:rPr>
              <w:t xml:space="preserve">cost-envelope component</w:t>
            </w:r>
          </w:p>
        </w:tc>
      </w:tr>
      <w:tr>
        <w:tc>
          <w:tcPr>
            <w:tcW w:type="dxa" w:w="750"/>
          </w:tcPr>
          <w:p>
            <w:r>
              <w:rPr>
                <w:rFonts w:ascii="Times New Roman" w:hAnsi="Times New Roman" w:eastAsia="Times New Roman"/>
                <w:sz w:val="14"/>
              </w:rPr>
              <w:t xml:space="preserve">C_compliance,t</w:t>
            </w:r>
          </w:p>
        </w:tc>
        <w:tc>
          <w:tcPr>
            <w:tcW w:type="dxa" w:w="1350"/>
          </w:tcPr>
          <w:p>
            <w:r>
              <w:rPr>
                <w:rFonts w:ascii="Times New Roman" w:hAnsi="Times New Roman" w:eastAsia="Times New Roman"/>
                <w:sz w:val="14"/>
              </w:rPr>
              <w:t xml:space="preserve">compliance component</w:t>
            </w:r>
          </w:p>
        </w:tc>
        <w:tc>
          <w:tcPr>
            <w:tcW w:type="dxa" w:w="500"/>
          </w:tcPr>
          <w:p>
            <w:r>
              <w:rPr>
                <w:rFonts w:ascii="Times New Roman" w:hAnsi="Times New Roman" w:eastAsia="Times New Roman"/>
                <w:sz w:val="14"/>
              </w:rPr>
              <w:t xml:space="preserve">currency/yr</w:t>
            </w:r>
          </w:p>
        </w:tc>
        <w:tc>
          <w:tcPr>
            <w:tcW w:type="dxa" w:w="900"/>
          </w:tcPr>
          <w:p>
            <w:r>
              <w:rPr>
                <w:rFonts w:ascii="Times New Roman" w:hAnsi="Times New Roman" w:eastAsia="Times New Roman"/>
                <w:sz w:val="14"/>
              </w:rPr>
              <w:t xml:space="preserve">component rate (envelope)</w:t>
            </w:r>
          </w:p>
        </w:tc>
        <w:tc>
          <w:tcPr>
            <w:tcW w:type="dxa" w:w="850"/>
          </w:tcPr>
          <w:p>
            <w:r>
              <w:rPr>
                <w:rFonts w:ascii="Times New Roman" w:hAnsi="Times New Roman" w:eastAsia="Times New Roman"/>
                <w:sz w:val="14"/>
              </w:rPr>
              <w:t xml:space="preserve">scenario design</w:t>
            </w:r>
          </w:p>
        </w:tc>
        <w:tc>
          <w:tcPr>
            <w:tcW w:type="dxa" w:w="650"/>
          </w:tcPr>
          <w:p>
            <w:r>
              <w:rPr>
                <w:rFonts w:ascii="Times New Roman" w:hAnsi="Times New Roman" w:eastAsia="Times New Roman"/>
                <w:sz w:val="14"/>
              </w:rPr>
              <w:t xml:space="preserve">cost-envelope component</w:t>
            </w:r>
          </w:p>
        </w:tc>
      </w:tr>
      <w:tr>
        <w:tc>
          <w:tcPr>
            <w:tcW w:type="dxa" w:w="750"/>
          </w:tcPr>
          <w:p>
            <w:r>
              <w:rPr>
                <w:rFonts w:ascii="Times New Roman" w:hAnsi="Times New Roman" w:eastAsia="Times New Roman"/>
                <w:sz w:val="14"/>
              </w:rPr>
              <w:t xml:space="preserve">C_review,t</w:t>
            </w:r>
          </w:p>
        </w:tc>
        <w:tc>
          <w:tcPr>
            <w:tcW w:type="dxa" w:w="1350"/>
          </w:tcPr>
          <w:p>
            <w:r>
              <w:rPr>
                <w:rFonts w:ascii="Times New Roman" w:hAnsi="Times New Roman" w:eastAsia="Times New Roman"/>
                <w:sz w:val="14"/>
              </w:rPr>
              <w:t xml:space="preserve">review component</w:t>
            </w:r>
          </w:p>
        </w:tc>
        <w:tc>
          <w:tcPr>
            <w:tcW w:type="dxa" w:w="500"/>
          </w:tcPr>
          <w:p>
            <w:r>
              <w:rPr>
                <w:rFonts w:ascii="Times New Roman" w:hAnsi="Times New Roman" w:eastAsia="Times New Roman"/>
                <w:sz w:val="14"/>
              </w:rPr>
              <w:t xml:space="preserve">currency/yr</w:t>
            </w:r>
          </w:p>
        </w:tc>
        <w:tc>
          <w:tcPr>
            <w:tcW w:type="dxa" w:w="900"/>
          </w:tcPr>
          <w:p>
            <w:r>
              <w:rPr>
                <w:rFonts w:ascii="Times New Roman" w:hAnsi="Times New Roman" w:eastAsia="Times New Roman"/>
                <w:sz w:val="14"/>
              </w:rPr>
              <w:t xml:space="preserve">component rate (envelope)</w:t>
            </w:r>
          </w:p>
        </w:tc>
        <w:tc>
          <w:tcPr>
            <w:tcW w:type="dxa" w:w="850"/>
          </w:tcPr>
          <w:p>
            <w:r>
              <w:rPr>
                <w:rFonts w:ascii="Times New Roman" w:hAnsi="Times New Roman" w:eastAsia="Times New Roman"/>
                <w:sz w:val="14"/>
              </w:rPr>
              <w:t xml:space="preserve">scenario design</w:t>
            </w:r>
          </w:p>
        </w:tc>
        <w:tc>
          <w:tcPr>
            <w:tcW w:type="dxa" w:w="650"/>
          </w:tcPr>
          <w:p>
            <w:r>
              <w:rPr>
                <w:rFonts w:ascii="Times New Roman" w:hAnsi="Times New Roman" w:eastAsia="Times New Roman"/>
                <w:sz w:val="14"/>
              </w:rPr>
              <w:t xml:space="preserve">cost-envelope component</w:t>
            </w:r>
          </w:p>
        </w:tc>
      </w:tr>
    </w:tbl>
    <w:p>
      <w:pPr>
        <w:spacing w:before="0" w:after="120" w:line="240" w:lineRule="auto"/>
        <w:ind w:firstLine="216"/>
      </w:pPr>
      <w:r>
        <w:rPr>
          <w:rFonts w:ascii="Times New Roman" w:hAnsi="Times New Roman" w:eastAsia="Times New Roman"/>
          <w:b w:val="0"/>
          <w:i w:val="0"/>
          <w:sz w:val="20"/>
        </w:rPr>
        <w:t xml:space="preserve">Read Table I left-to-right: each row reports the symbol meaning, unit, baseline role, and source/origin for auditability.</w:t>
      </w:r>
    </w:p>
    <w:p>
      <w:pPr>
        <w:spacing w:before="0" w:after="120" w:line="240" w:lineRule="auto"/>
        <w:ind w:firstLine="216"/>
      </w:pPr>
      <w:r>
        <w:rPr>
          <w:rFonts w:ascii="Times New Roman" w:hAnsi="Times New Roman" w:eastAsia="Times New Roman"/>
          <w:b w:val="0"/>
          <w:i w:val="0"/>
          <w:sz w:val="20"/>
        </w:rPr>
        <w:t xml:space="preserve">Table II defines Low/Base/High scenario settings using qualitative bounds where exact values are not disclosed by current source assets.</w:t>
      </w:r>
    </w:p>
    <w:p>
      <w:pPr>
        <w:spacing w:before="80" w:after="40" w:line="240" w:lineRule="auto"/>
        <w:ind w:firstLine="0"/>
        <w:jc w:val="center"/>
      </w:pPr>
      <w:r>
        <w:rPr>
          <w:rFonts w:ascii="Times New Roman" w:hAnsi="Times New Roman" w:eastAsia="Times New Roman"/>
          <w:b/>
          <w:sz w:val="16"/>
        </w:rPr>
        <w:t>TABLE II. Low/Base/High Scenario Definition</w:t>
      </w:r>
    </w:p>
    <w:tbl>
      <w:tblPr>
        <w:tblStyle w:val="TableGrid"/>
        <w:tblW w:type="dxa" w:w="5000"/>
        <w:tblW w:w="0"/>
        <w:tblLook w:val="04A0" w:firstRow="1" w:lastRow="0" w:firstColumn="1" w:lastColumn="0" w:noHBand="0" w:noVBand="1"/>
        <w:tblLayout w:type="fixed"/>
        <w:tblCellMar>
          <w:left w:w="30" w:type="dxa"/>
          <w:right w:w="30" w:type="dxa"/>
        </w:tblCellMar>
      </w:tblPr>
      <w:tblGrid>
        <w:gridCol w:w="1200"/>
        <w:gridCol w:w="850"/>
        <w:gridCol w:w="850"/>
        <w:gridCol w:w="850"/>
        <w:gridCol w:w="1250"/>
      </w:tblGrid>
      <w:tr>
        <w:tc>
          <w:tcPr>
            <w:tcW w:type="dxa" w:w="1200"/>
          </w:tcPr>
          <w:p>
            <w:r>
              <w:rPr>
                <w:rFonts w:ascii="Times New Roman" w:hAnsi="Times New Roman" w:eastAsia="Times New Roman"/>
                <w:b/>
                <w:sz w:val="14"/>
              </w:rPr>
              <w:t xml:space="preserve">Dimension</w:t>
            </w:r>
          </w:p>
        </w:tc>
        <w:tc>
          <w:tcPr>
            <w:tcW w:type="dxa" w:w="850"/>
          </w:tcPr>
          <w:p>
            <w:r>
              <w:rPr>
                <w:rFonts w:ascii="Times New Roman" w:hAnsi="Times New Roman" w:eastAsia="Times New Roman"/>
                <w:b/>
                <w:sz w:val="14"/>
              </w:rPr>
              <w:t xml:space="preserve">Low</w:t>
            </w:r>
          </w:p>
        </w:tc>
        <w:tc>
          <w:tcPr>
            <w:tcW w:type="dxa" w:w="850"/>
          </w:tcPr>
          <w:p>
            <w:r>
              <w:rPr>
                <w:rFonts w:ascii="Times New Roman" w:hAnsi="Times New Roman" w:eastAsia="Times New Roman"/>
                <w:b/>
                <w:sz w:val="14"/>
              </w:rPr>
              <w:t xml:space="preserve">Base</w:t>
            </w:r>
          </w:p>
        </w:tc>
        <w:tc>
          <w:tcPr>
            <w:tcW w:type="dxa" w:w="850"/>
          </w:tcPr>
          <w:p>
            <w:r>
              <w:rPr>
                <w:rFonts w:ascii="Times New Roman" w:hAnsi="Times New Roman" w:eastAsia="Times New Roman"/>
                <w:b/>
                <w:sz w:val="14"/>
              </w:rPr>
              <w:t xml:space="preserve">High</w:t>
            </w:r>
          </w:p>
        </w:tc>
        <w:tc>
          <w:tcPr>
            <w:tcW w:type="dxa" w:w="1250"/>
          </w:tcPr>
          <w:p>
            <w:r>
              <w:rPr>
                <w:rFonts w:ascii="Times New Roman" w:hAnsi="Times New Roman" w:eastAsia="Times New Roman"/>
                <w:b/>
                <w:sz w:val="14"/>
              </w:rPr>
              <w:t xml:space="preserve">Comment</w:t>
            </w:r>
          </w:p>
        </w:tc>
      </w:tr>
      <w:tr>
        <w:tc>
          <w:tcPr>
            <w:tcW w:type="dxa" w:w="1200"/>
          </w:tcPr>
          <w:p>
            <w:r>
              <w:rPr>
                <w:rFonts w:ascii="Times New Roman" w:hAnsi="Times New Roman" w:eastAsia="Times New Roman"/>
                <w:sz w:val="14"/>
              </w:rPr>
              <w:t xml:space="preserve">internet part. by age</w:t>
            </w:r>
          </w:p>
        </w:tc>
        <w:tc>
          <w:tcPr>
            <w:tcW w:type="dxa" w:w="850"/>
          </w:tcPr>
          <w:p>
            <w:r>
              <w:rPr>
                <w:rFonts w:ascii="Times New Roman" w:hAnsi="Times New Roman" w:eastAsia="Times New Roman"/>
                <w:sz w:val="14"/>
              </w:rPr>
              <w:t xml:space="preserve">lower uptake</w:t>
            </w:r>
          </w:p>
        </w:tc>
        <w:tc>
          <w:tcPr>
            <w:tcW w:type="dxa" w:w="850"/>
          </w:tcPr>
          <w:p>
            <w:r>
              <w:rPr>
                <w:rFonts w:ascii="Times New Roman" w:hAnsi="Times New Roman" w:eastAsia="Times New Roman"/>
                <w:sz w:val="14"/>
              </w:rPr>
              <w:t xml:space="preserve">central anchor</w:t>
            </w:r>
          </w:p>
        </w:tc>
        <w:tc>
          <w:tcPr>
            <w:tcW w:type="dxa" w:w="850"/>
          </w:tcPr>
          <w:p>
            <w:r>
              <w:rPr>
                <w:rFonts w:ascii="Times New Roman" w:hAnsi="Times New Roman" w:eastAsia="Times New Roman"/>
                <w:sz w:val="14"/>
              </w:rPr>
              <w:t xml:space="preserve">upper bounded</w:t>
            </w:r>
          </w:p>
        </w:tc>
        <w:tc>
          <w:tcPr>
            <w:tcW w:type="dxa" w:w="1250"/>
          </w:tcPr>
          <w:p>
            <w:r>
              <w:rPr>
                <w:rFonts w:ascii="Times New Roman" w:hAnsi="Times New Roman" w:eastAsia="Times New Roman"/>
                <w:sz w:val="14"/>
              </w:rPr>
              <w:t xml:space="preserve">age-structured</w:t>
            </w:r>
          </w:p>
        </w:tc>
      </w:tr>
      <w:tr>
        <w:tc>
          <w:tcPr>
            <w:tcW w:type="dxa" w:w="1200"/>
          </w:tcPr>
          <w:p>
            <w:r>
              <w:rPr>
                <w:rFonts w:ascii="Times New Roman" w:hAnsi="Times New Roman" w:eastAsia="Times New Roman"/>
                <w:sz w:val="14"/>
              </w:rPr>
              <w:t xml:space="preserve">social|internet</w:t>
            </w:r>
          </w:p>
        </w:tc>
        <w:tc>
          <w:tcPr>
            <w:tcW w:type="dxa" w:w="850"/>
          </w:tcPr>
          <w:p>
            <w:r>
              <w:rPr>
                <w:rFonts w:ascii="Times New Roman" w:hAnsi="Times New Roman" w:eastAsia="Times New Roman"/>
                <w:sz w:val="14"/>
              </w:rPr>
              <w:t xml:space="preserve">lower cond.</w:t>
            </w:r>
          </w:p>
        </w:tc>
        <w:tc>
          <w:tcPr>
            <w:tcW w:type="dxa" w:w="850"/>
          </w:tcPr>
          <w:p>
            <w:r>
              <w:rPr>
                <w:rFonts w:ascii="Times New Roman" w:hAnsi="Times New Roman" w:eastAsia="Times New Roman"/>
                <w:sz w:val="14"/>
              </w:rPr>
              <w:t xml:space="preserve">central cond.</w:t>
            </w:r>
          </w:p>
        </w:tc>
        <w:tc>
          <w:tcPr>
            <w:tcW w:type="dxa" w:w="850"/>
          </w:tcPr>
          <w:p>
            <w:r>
              <w:rPr>
                <w:rFonts w:ascii="Times New Roman" w:hAnsi="Times New Roman" w:eastAsia="Times New Roman"/>
                <w:sz w:val="14"/>
              </w:rPr>
              <w:t xml:space="preserve">higher bounded</w:t>
            </w:r>
          </w:p>
        </w:tc>
        <w:tc>
          <w:tcPr>
            <w:tcW w:type="dxa" w:w="1250"/>
          </w:tcPr>
          <w:p>
            <w:r>
              <w:rPr>
                <w:rFonts w:ascii="Times New Roman" w:hAnsi="Times New Roman" w:eastAsia="Times New Roman"/>
                <w:sz w:val="14"/>
              </w:rPr>
              <w:t xml:space="preserve">after internet layer</w:t>
            </w:r>
          </w:p>
        </w:tc>
      </w:tr>
      <w:tr>
        <w:tc>
          <w:tcPr>
            <w:tcW w:type="dxa" w:w="1200"/>
          </w:tcPr>
          <w:p>
            <w:r>
              <w:rPr>
                <w:rFonts w:ascii="Times New Roman" w:hAnsi="Times New Roman" w:eastAsia="Times New Roman"/>
                <w:sz w:val="14"/>
              </w:rPr>
              <w:t xml:space="preserve">platform share s_t</w:t>
            </w:r>
          </w:p>
        </w:tc>
        <w:tc>
          <w:tcPr>
            <w:tcW w:type="dxa" w:w="850"/>
          </w:tcPr>
          <w:p>
            <w:r>
              <w:rPr>
                <w:rFonts w:ascii="Times New Roman" w:hAnsi="Times New Roman" w:eastAsia="Times New Roman"/>
                <w:sz w:val="14"/>
              </w:rPr>
              <w:t xml:space="preserve">lower</w:t>
            </w:r>
          </w:p>
        </w:tc>
        <w:tc>
          <w:tcPr>
            <w:tcW w:type="dxa" w:w="850"/>
          </w:tcPr>
          <w:p>
            <w:r>
              <w:rPr>
                <w:rFonts w:ascii="Times New Roman" w:hAnsi="Times New Roman" w:eastAsia="Times New Roman"/>
                <w:sz w:val="14"/>
              </w:rPr>
              <w:t xml:space="preserve">central</w:t>
            </w:r>
          </w:p>
        </w:tc>
        <w:tc>
          <w:tcPr>
            <w:tcW w:type="dxa" w:w="850"/>
          </w:tcPr>
          <w:p>
            <w:r>
              <w:rPr>
                <w:rFonts w:ascii="Times New Roman" w:hAnsi="Times New Roman" w:eastAsia="Times New Roman"/>
                <w:sz w:val="14"/>
              </w:rPr>
              <w:t xml:space="preserve">higher</w:t>
            </w:r>
          </w:p>
        </w:tc>
        <w:tc>
          <w:tcPr>
            <w:tcW w:type="dxa" w:w="1250"/>
          </w:tcPr>
          <w:p>
            <w:r>
              <w:rPr>
                <w:rFonts w:ascii="Times New Roman" w:hAnsi="Times New Roman" w:eastAsia="Times New Roman"/>
                <w:sz w:val="14"/>
              </w:rPr>
              <w:t xml:space="preserve">among deceased persons</w:t>
            </w:r>
          </w:p>
        </w:tc>
      </w:tr>
      <w:tr>
        <w:tc>
          <w:tcPr>
            <w:tcW w:type="dxa" w:w="1200"/>
          </w:tcPr>
          <w:p>
            <w:r>
              <w:rPr>
                <w:rFonts w:ascii="Times New Roman" w:hAnsi="Times New Roman" w:eastAsia="Times New Roman"/>
                <w:sz w:val="14"/>
              </w:rPr>
              <w:t xml:space="preserve">identity multiplicity kappa_t</w:t>
            </w:r>
          </w:p>
        </w:tc>
        <w:tc>
          <w:tcPr>
            <w:tcW w:type="dxa" w:w="850"/>
          </w:tcPr>
          <w:p>
            <w:r>
              <w:rPr>
                <w:rFonts w:ascii="Times New Roman" w:hAnsi="Times New Roman" w:eastAsia="Times New Roman"/>
                <w:sz w:val="14"/>
              </w:rPr>
              <w:t xml:space="preserve">lower</w:t>
            </w:r>
          </w:p>
        </w:tc>
        <w:tc>
          <w:tcPr>
            <w:tcW w:type="dxa" w:w="850"/>
          </w:tcPr>
          <w:p>
            <w:r>
              <w:rPr>
                <w:rFonts w:ascii="Times New Roman" w:hAnsi="Times New Roman" w:eastAsia="Times New Roman"/>
                <w:sz w:val="14"/>
              </w:rPr>
              <w:t xml:space="preserve">anchor-based</w:t>
            </w:r>
          </w:p>
        </w:tc>
        <w:tc>
          <w:tcPr>
            <w:tcW w:type="dxa" w:w="850"/>
          </w:tcPr>
          <w:p>
            <w:r>
              <w:rPr>
                <w:rFonts w:ascii="Times New Roman" w:hAnsi="Times New Roman" w:eastAsia="Times New Roman"/>
                <w:sz w:val="14"/>
              </w:rPr>
              <w:t xml:space="preserve">higher bounded</w:t>
            </w:r>
          </w:p>
        </w:tc>
        <w:tc>
          <w:tcPr>
            <w:tcW w:type="dxa" w:w="1250"/>
          </w:tcPr>
          <w:p>
            <w:r>
              <w:rPr>
                <w:rFonts w:ascii="Times New Roman" w:hAnsi="Times New Roman" w:eastAsia="Times New Roman"/>
                <w:sz w:val="14"/>
              </w:rPr>
              <w:t xml:space="preserve">not universal const</w:t>
            </w:r>
          </w:p>
        </w:tc>
      </w:tr>
      <w:tr>
        <w:tc>
          <w:tcPr>
            <w:tcW w:type="dxa" w:w="1200"/>
          </w:tcPr>
          <w:p>
            <w:r>
              <w:rPr>
                <w:rFonts w:ascii="Times New Roman" w:hAnsi="Times New Roman" w:eastAsia="Times New Roman"/>
                <w:sz w:val="14"/>
              </w:rPr>
              <w:t xml:space="preserve">retention share rho_t</w:t>
            </w:r>
          </w:p>
        </w:tc>
        <w:tc>
          <w:tcPr>
            <w:tcW w:type="dxa" w:w="850"/>
          </w:tcPr>
          <w:p>
            <w:r>
              <w:rPr>
                <w:rFonts w:ascii="Times New Roman" w:hAnsi="Times New Roman" w:eastAsia="Times New Roman"/>
                <w:sz w:val="14"/>
              </w:rPr>
              <w:t xml:space="preserve">lower</w:t>
            </w:r>
          </w:p>
        </w:tc>
        <w:tc>
          <w:tcPr>
            <w:tcW w:type="dxa" w:w="850"/>
          </w:tcPr>
          <w:p>
            <w:r>
              <w:rPr>
                <w:rFonts w:ascii="Times New Roman" w:hAnsi="Times New Roman" w:eastAsia="Times New Roman"/>
                <w:sz w:val="14"/>
              </w:rPr>
              <w:t xml:space="preserve">central</w:t>
            </w:r>
          </w:p>
        </w:tc>
        <w:tc>
          <w:tcPr>
            <w:tcW w:type="dxa" w:w="850"/>
          </w:tcPr>
          <w:p>
            <w:r>
              <w:rPr>
                <w:rFonts w:ascii="Times New Roman" w:hAnsi="Times New Roman" w:eastAsia="Times New Roman"/>
                <w:sz w:val="14"/>
              </w:rPr>
              <w:t xml:space="preserve">higher</w:t>
            </w:r>
          </w:p>
        </w:tc>
        <w:tc>
          <w:tcPr>
            <w:tcW w:type="dxa" w:w="1250"/>
          </w:tcPr>
          <w:p>
            <w:r>
              <w:rPr>
                <w:rFonts w:ascii="Times New Roman" w:hAnsi="Times New Roman" w:eastAsia="Times New Roman"/>
                <w:sz w:val="14"/>
              </w:rPr>
              <w:t xml:space="preserve">policy/lifecycle</w:t>
            </w:r>
          </w:p>
        </w:tc>
      </w:tr>
      <w:tr>
        <w:tc>
          <w:tcPr>
            <w:tcW w:type="dxa" w:w="1200"/>
          </w:tcPr>
          <w:p>
            <w:r>
              <w:rPr>
                <w:rFonts w:ascii="Times New Roman" w:hAnsi="Times New Roman" w:eastAsia="Times New Roman"/>
                <w:sz w:val="14"/>
              </w:rPr>
              <w:t xml:space="preserve">cost-envelope severity</w:t>
            </w:r>
          </w:p>
        </w:tc>
        <w:tc>
          <w:tcPr>
            <w:tcW w:type="dxa" w:w="850"/>
          </w:tcPr>
          <w:p>
            <w:r>
              <w:rPr>
                <w:rFonts w:ascii="Times New Roman" w:hAnsi="Times New Roman" w:eastAsia="Times New Roman"/>
                <w:sz w:val="14"/>
              </w:rPr>
              <w:t xml:space="preserve">lean</w:t>
            </w:r>
          </w:p>
        </w:tc>
        <w:tc>
          <w:tcPr>
            <w:tcW w:type="dxa" w:w="850"/>
          </w:tcPr>
          <w:p>
            <w:r>
              <w:rPr>
                <w:rFonts w:ascii="Times New Roman" w:hAnsi="Times New Roman" w:eastAsia="Times New Roman"/>
                <w:sz w:val="14"/>
              </w:rPr>
              <w:t xml:space="preserve">central</w:t>
            </w:r>
          </w:p>
        </w:tc>
        <w:tc>
          <w:tcPr>
            <w:tcW w:type="dxa" w:w="850"/>
          </w:tcPr>
          <w:p>
            <w:r>
              <w:rPr>
                <w:rFonts w:ascii="Times New Roman" w:hAnsi="Times New Roman" w:eastAsia="Times New Roman"/>
                <w:sz w:val="14"/>
              </w:rPr>
              <w:t xml:space="preserve">high-governance</w:t>
            </w:r>
          </w:p>
        </w:tc>
        <w:tc>
          <w:tcPr>
            <w:tcW w:type="dxa" w:w="1250"/>
          </w:tcPr>
          <w:p>
            <w:r>
              <w:rPr>
                <w:rFonts w:ascii="Times New Roman" w:hAnsi="Times New Roman" w:eastAsia="Times New Roman"/>
                <w:sz w:val="14"/>
              </w:rPr>
              <w:t xml:space="preserve">stress-test only</w:t>
            </w:r>
          </w:p>
        </w:tc>
      </w:tr>
    </w:tbl>
    <w:p>
      <w:pPr>
        <w:spacing w:before="0" w:after="120" w:line="240" w:lineRule="auto"/>
        <w:ind w:firstLine="216"/>
      </w:pPr>
      <w:r>
        <w:rPr>
          <w:rFonts w:ascii="Times New Roman" w:hAnsi="Times New Roman" w:eastAsia="Times New Roman"/>
          <w:b w:val="0"/>
          <w:i w:val="0"/>
          <w:sz w:val="20"/>
        </w:rPr>
        <w:t xml:space="preserve">Read Table II by row: only scenario dimensions vary across Low/Base/High while the structural equations remain unchanged.</w:t>
      </w:r>
    </w:p>
    <w:p>
      <w:pPr>
        <w:spacing w:before="80" w:after="80" w:line="240" w:lineRule="auto"/>
        <w:ind w:firstLine="0"/>
      </w:pPr>
      <w:r>
        <w:rPr>
          <w:rFonts w:ascii="Times New Roman" w:hAnsi="Times New Roman" w:eastAsia="Times New Roman"/>
          <w:b/>
          <w:i w:val="0"/>
          <w:sz w:val="20"/>
        </w:rPr>
        <w:t>IV. RESULTS</w:t>
      </w:r>
    </w:p>
    <w:p>
      <w:pPr>
        <w:spacing w:before="40" w:after="40" w:line="240" w:lineRule="auto"/>
        <w:ind w:firstLine="0"/>
      </w:pPr>
      <w:r>
        <w:rPr>
          <w:rFonts w:ascii="Times New Roman" w:hAnsi="Times New Roman" w:eastAsia="Times New Roman"/>
          <w:b/>
          <w:i w:val="0"/>
          <w:sz w:val="20"/>
        </w:rPr>
        <w:t>A. Cohort Survival Horizon</w:t>
      </w:r>
    </w:p>
    <w:p>
      <w:pPr>
        <w:spacing w:before="0" w:after="120" w:line="240" w:lineRule="auto"/>
        <w:ind w:firstLine="216"/>
      </w:pPr>
      <w:r>
        <w:rPr>
          <w:rFonts w:ascii="Times New Roman" w:hAnsi="Times New Roman" w:eastAsia="Times New Roman"/>
          <w:b w:val="0"/>
          <w:i w:val="0"/>
          <w:sz w:val="20"/>
        </w:rPr>
        <w:t>Using the model above, 95% mortality milestones are estimated near 2077.5 (Generation X), 2091.8 (Millennials), 2107.8 (Generation Z), and 2122.0 (Generation Alpha). By 2122, cumulative deaths across the modeled cohorts are approximately 4.72 billion.</w:t>
      </w:r>
    </w:p>
    <w:p>
      <w:pPr>
        <w:spacing w:before="40" w:after="40" w:line="240" w:lineRule="auto"/>
        <w:ind w:firstLine="0"/>
      </w:pPr>
      <w:r>
        <w:rPr>
          <w:rFonts w:ascii="Times New Roman" w:hAnsi="Times New Roman" w:eastAsia="Times New Roman"/>
          <w:b/>
          <w:i w:val="0"/>
          <w:sz w:val="20"/>
        </w:rPr>
        <w:t>B. Digital Participation Assumptions</w:t>
      </w:r>
    </w:p>
    <w:p>
      <w:pPr>
        <w:spacing w:before="0" w:after="120" w:line="240" w:lineRule="auto"/>
        <w:ind w:firstLine="216"/>
      </w:pPr>
      <w:r>
        <w:t xml:space="preserve">In 2024, ITU reports 5.5 billion internet users (68% of world population) and 2.6 billion people still offline [2]. The offline count is a stock measure and is not interpreted here as an annual growth parameter. DataReportal reports 5.04 billion social-media identities and average multi-platform use indicators [3]. Accordingly, future participation is represented as bounded scenarios (low/base/high) rather than a deterministic year-of-saturation formula.</w:t>
      </w:r>
    </w:p>
    <w:p>
      <w:pPr>
        <w:spacing w:before="40" w:after="40" w:line="240" w:lineRule="auto"/>
        <w:ind w:firstLine="0"/>
      </w:pPr>
      <w:r>
        <w:rPr>
          <w:rFonts w:ascii="Times New Roman" w:hAnsi="Times New Roman" w:eastAsia="Times New Roman"/>
          <w:b/>
          <w:i w:val="0"/>
          <w:sz w:val="20"/>
        </w:rPr>
        <w:t>C. Deceased-Account Scale</w:t>
      </w:r>
    </w:p>
    <w:p>
      <w:pPr>
        <w:spacing w:before="0" w:after="120" w:line="240" w:lineRule="auto"/>
        <w:ind w:firstLine="216"/>
      </w:pPr>
      <w:r>
        <w:t xml:space="preserve">Under the base scenario, cumulative stocks by T = 2122 are S_platform(2122) ≈ 4.48 billion deceased account identities per major platform and S_identity(2122) ≈ 30.01-30.05 billion cross-platform identities (rounding-dependent). These are model-generated scenario outputs, not directly observed counts. Values outside the clearly observed mortality-series horizon in [4] are treated as scenario extensions.</w:t>
      </w:r>
    </w:p>
    <w:p>
      <w:pPr>
        <w:spacing w:before="40" w:after="40" w:line="240" w:lineRule="auto"/>
        <w:ind w:firstLine="0"/>
      </w:pPr>
      <w:r>
        <w:rPr>
          <w:rFonts w:ascii="Times New Roman" w:hAnsi="Times New Roman" w:eastAsia="Times New Roman"/>
          <w:b/>
          <w:i w:val="0"/>
          <w:sz w:val="20"/>
        </w:rPr>
        <w:t>D. Cost Implications</w:t>
      </w:r>
    </w:p>
    <w:p>
      <w:pPr>
        <w:spacing w:before="0" w:after="120" w:line="240" w:lineRule="auto"/>
        <w:ind w:firstLine="216"/>
      </w:pPr>
      <w:r>
        <w:t xml:space="preserve">Cost outputs should be interpreted as stress-test envelopes conditional on scenario parameters and component rates in Section III. They are intended for infrastructure planning, not as audited financial forecasts.</w:t>
      </w:r>
    </w:p>
    <w:p>
      <w:pPr>
        <w:spacing w:before="40" w:after="40" w:line="240" w:lineRule="auto"/>
        <w:ind w:firstLine="0"/>
      </w:pPr>
      <w:r>
        <w:rPr>
          <w:rFonts w:ascii="Times New Roman" w:hAnsi="Times New Roman" w:eastAsia="Times New Roman"/>
          <w:b/>
          <w:i w:val="0"/>
          <w:sz w:val="20"/>
        </w:rPr>
        <w:t xml:space="preserve">E. Validation and Sanity Check</w:t>
      </w:r>
    </w:p>
    <w:p>
      <w:pPr>
        <w:spacing w:before="0" w:after="120" w:line="240" w:lineRule="auto"/>
        <w:ind w:firstLine="216"/>
      </w:pPr>
      <w:r>
        <w:t xml:space="preserve">This model is a scenario framework rather than a point-forecast system. As a sanity check, when the mapping is interpreted in a single-platform-like framing, the resulting scale remains in broad order-of-magnitude alignment with prior deceased-profile accumulation literature [6]. This is a plausibility check, not empirical validation.</w:t>
      </w:r>
    </w:p>
    <w:p>
      <w:pPr>
        <w:spacing w:before="80" w:after="80" w:line="240" w:lineRule="auto"/>
        <w:ind w:firstLine="0"/>
      </w:pPr>
      <w:r>
        <w:rPr>
          <w:rFonts w:ascii="Times New Roman" w:hAnsi="Times New Roman" w:eastAsia="Times New Roman"/>
          <w:b/>
          <w:i w:val="0"/>
          <w:sz w:val="20"/>
        </w:rPr>
        <w:t>V. DIGITAL CEMETERY ARCHITECTURE</w:t>
      </w:r>
    </w:p>
    <w:p>
      <w:pPr>
        <w:spacing w:before="0" w:after="120" w:line="240" w:lineRule="auto"/>
        <w:ind w:firstLine="216"/>
      </w:pPr>
      <w:r>
        <w:t xml:space="preserve">The scenario envelopes above motivate architecture-level controls: if deceased-identity stock is persistent and parameter-sensitive, platforms need lifecycle infrastructure that is verifiable, policy-aware, and cost-conscious by design.</w:t>
      </w:r>
    </w:p>
    <w:p>
      <w:pPr>
        <w:spacing w:before="40" w:after="40" w:line="240" w:lineRule="auto"/>
        <w:ind w:firstLine="0"/>
      </w:pPr>
      <w:r>
        <w:rPr>
          <w:rFonts w:ascii="Times New Roman" w:hAnsi="Times New Roman" w:eastAsia="Times New Roman"/>
          <w:b/>
          <w:i w:val="0"/>
          <w:sz w:val="20"/>
        </w:rPr>
        <w:t>A. Candidate Detection and Verification</w:t>
      </w:r>
    </w:p>
    <w:p>
      <w:pPr>
        <w:spacing w:before="0" w:after="120" w:line="240" w:lineRule="auto"/>
        <w:ind w:firstLine="216"/>
      </w:pPr>
      <w:r>
        <w:rPr>
          <w:rFonts w:ascii="Times New Roman" w:hAnsi="Times New Roman" w:eastAsia="Times New Roman"/>
          <w:b w:val="0"/>
          <w:i w:val="0"/>
          <w:sz w:val="20"/>
        </w:rPr>
        <w:t xml:space="preserve">The proposed architecture extends existing platform primitives, including memorialization and deceased-user handling [5], inactivity-based delegation patterns [7], and legacy-access controls [8]. Accounts enter a candidate queue when weighted evidence crosses a review threshold (e.g., inactivity duration, verified relative request, official death evidence). An automated pre-check is followed by human review for contested cases. Evidence and decision logs are retained for auditability.</w:t>
      </w:r>
    </w:p>
    <w:p>
      <w:pPr>
        <w:spacing w:before="40" w:after="40" w:line="240" w:lineRule="auto"/>
        <w:ind w:firstLine="0"/>
      </w:pPr>
      <w:r>
        <w:rPr>
          <w:rFonts w:ascii="Times New Roman" w:hAnsi="Times New Roman" w:eastAsia="Times New Roman"/>
          <w:b/>
          <w:i w:val="0"/>
          <w:sz w:val="20"/>
        </w:rPr>
        <w:t>B. Immutable Snapshot and Manifest</w:t>
      </w:r>
    </w:p>
    <w:p>
      <w:pPr>
        <w:spacing w:before="0" w:after="120" w:line="240" w:lineRule="auto"/>
        <w:ind w:firstLine="216"/>
      </w:pPr>
      <w:r>
        <w:rPr>
          <w:rFonts w:ascii="Times New Roman" w:hAnsi="Times New Roman" w:eastAsia="Times New Roman"/>
          <w:b w:val="0"/>
          <w:i w:val="0"/>
          <w:sz w:val="20"/>
        </w:rPr>
        <w:t>After confirmation, the platform creates a full account snapshot and a manifest describing file inventory, integrity hashes, lineage metadata, and access policy. Manifest immutability reduces tampering risk and supports later legal or forensic verification.</w:t>
      </w:r>
    </w:p>
    <w:p>
      <w:pPr>
        <w:spacing w:before="40" w:after="40" w:line="240" w:lineRule="auto"/>
        <w:ind w:firstLine="0"/>
      </w:pPr>
      <w:r>
        <w:rPr>
          <w:rFonts w:ascii="Times New Roman" w:hAnsi="Times New Roman" w:eastAsia="Times New Roman"/>
          <w:b/>
          <w:i w:val="0"/>
          <w:sz w:val="20"/>
        </w:rPr>
        <w:t>C. Storage and Deduplication Strategy</w:t>
      </w:r>
    </w:p>
    <w:p>
      <w:pPr>
        <w:spacing w:before="0" w:after="120" w:line="240" w:lineRule="auto"/>
        <w:ind w:firstLine="216"/>
      </w:pPr>
      <w:r>
        <w:rPr>
          <w:rFonts w:ascii="Times New Roman" w:hAnsi="Times New Roman" w:eastAsia="Times New Roman"/>
          <w:b w:val="0"/>
          <w:i w:val="0"/>
          <w:sz w:val="20"/>
        </w:rPr>
        <w:t>The design separates a fast metadata index from bulk object storage. Cross-account deduplication stores identical media once and references it logically from multiple archives. This reduces long-term storage growth while preserving retrieval fidelity.</w:t>
      </w:r>
    </w:p>
    <w:p>
      <w:pPr>
        <w:spacing w:before="40" w:after="40" w:line="240" w:lineRule="auto"/>
        <w:ind w:firstLine="0"/>
      </w:pPr>
      <w:r>
        <w:rPr>
          <w:rFonts w:ascii="Times New Roman" w:hAnsi="Times New Roman" w:eastAsia="Times New Roman"/>
          <w:b/>
          <w:i w:val="0"/>
          <w:sz w:val="20"/>
        </w:rPr>
        <w:t>D. Access, Deletion, and Governance</w:t>
      </w:r>
    </w:p>
    <w:p>
      <w:pPr>
        <w:spacing w:before="0" w:after="120" w:line="240" w:lineRule="auto"/>
        <w:ind w:firstLine="216"/>
      </w:pPr>
      <w:r>
        <w:rPr>
          <w:rFonts w:ascii="Times New Roman" w:hAnsi="Times New Roman" w:eastAsia="Times New Roman"/>
          <w:b w:val="0"/>
          <w:i w:val="0"/>
          <w:sz w:val="20"/>
        </w:rPr>
        <w:t>Archive access is granted only after rights verification (kinship, executor authority, or lawful order). For lawful erasure requests, manifests are marked, references are removed, and physical deletion proceeds when no dependent references remain. Rate controls and anomaly detection protect against extraction abuse.</w:t>
      </w:r>
    </w:p>
    <w:p>
      <w:pPr>
        <w:spacing w:before="80" w:after="80" w:line="240" w:lineRule="auto"/>
        <w:ind w:firstLine="0"/>
      </w:pPr>
      <w:r>
        <w:rPr>
          <w:rFonts w:ascii="Times New Roman" w:hAnsi="Times New Roman" w:eastAsia="Times New Roman"/>
          <w:b/>
          <w:i w:val="0"/>
          <w:sz w:val="20"/>
        </w:rPr>
        <w:t>VI. DISCUSSION AND LIMITATIONS</w:t>
      </w:r>
    </w:p>
    <w:p>
      <w:pPr>
        <w:spacing w:before="0" w:after="120" w:line="240" w:lineRule="auto"/>
        <w:ind w:firstLine="216"/>
      </w:pPr>
      <w:r>
        <w:rPr>
          <w:rFonts w:ascii="Times New Roman" w:hAnsi="Times New Roman" w:eastAsia="Times New Roman"/>
          <w:b w:val="0"/>
          <w:i w:val="0"/>
          <w:sz w:val="20"/>
        </w:rPr>
        <w:t xml:space="preserve">This study provides a scenario framework, not a census of deceased users. The main validity threat is unit mismatch between person-based mortality and identity-based platform indicators. Additional uncertainty sources include duplicate or false accounts, cross-platform duplication, regional heterogeneity, under-13 and over-65 participation uncertainty, platform churn, policy changes, legal constraints, and unknown platform-internal deletion or retention practices.</w:t>
      </w:r>
    </w:p>
    <w:p>
      <w:pPr>
        <w:spacing w:before="0" w:after="120" w:line="240" w:lineRule="auto"/>
        <w:ind w:firstLine="216"/>
      </w:pPr>
      <w:r>
        <w:rPr>
          <w:rFonts w:ascii="Times New Roman" w:hAnsi="Times New Roman" w:eastAsia="Times New Roman"/>
          <w:b w:val="0"/>
          <w:i w:val="0"/>
          <w:sz w:val="20"/>
        </w:rPr>
        <w:t xml:space="preserve">A second threat is cost opacity: platforms do not publish full archival cost structures, so cost outputs are scenario envelopes. A third threat is reproducibility granularity: without full intermediate tables (age-year participation, mortality mappings, and scenario parameter sheets), independent recomputation is limited. Therefore, reported annual inflows and cumulative totals should be interpreted as assumption-conditional planning bounds.</w:t>
      </w:r>
    </w:p>
    <w:p>
      <w:pPr>
        <w:spacing w:before="80" w:after="80" w:line="240" w:lineRule="auto"/>
        <w:ind w:firstLine="0"/>
      </w:pPr>
      <w:r>
        <w:rPr>
          <w:rFonts w:ascii="Times New Roman" w:hAnsi="Times New Roman" w:eastAsia="Times New Roman"/>
          <w:b/>
          <w:i w:val="0"/>
          <w:sz w:val="20"/>
        </w:rPr>
        <w:t>VII. CONCLUSION</w:t>
      </w:r>
    </w:p>
    <w:p>
      <w:pPr>
        <w:spacing w:before="0" w:after="120" w:line="240" w:lineRule="auto"/>
        <w:ind w:firstLine="216"/>
      </w:pPr>
      <w:r>
        <w:rPr>
          <w:rFonts w:ascii="Times New Roman" w:hAnsi="Times New Roman" w:eastAsia="Times New Roman"/>
          <w:b w:val="0"/>
          <w:i w:val="0"/>
          <w:sz w:val="20"/>
        </w:rPr>
        <w:t xml:space="preserve">Deceased-account accumulation is a foreseeable infrastructure problem, but its magnitude is best represented as a bounded scenario space rather than a point forecast. This paper contributes (i) a stricter person-to-identity modeling framework, (ii) transparent low/base/high scenario logic, and (iii) a governance architecture for verification, archival control, lawful deletion, and constrained access. The practical implication is that platforms can begin implementing policy-aware archival lanes now while refining parameters as better data disclosures become available. Future work should prioritize age-specific participation estimates, direct measurement of cross-platform duplication, and open simulation code for full external replication.</w:t>
      </w:r>
    </w:p>
    <w:p>
      <w:pPr>
        <w:spacing w:before="80" w:after="80" w:line="240" w:lineRule="auto"/>
        <w:ind w:firstLine="0"/>
      </w:pPr>
      <w:r>
        <w:rPr>
          <w:rFonts w:ascii="Times New Roman" w:hAnsi="Times New Roman" w:eastAsia="Times New Roman"/>
          <w:b/>
          <w:i w:val="0"/>
          <w:sz w:val="20"/>
        </w:rPr>
        <w:t xml:space="preserve">APPENDIX. COMPUTATION TRACE FOR REPRODUCIBILITY</w:t>
      </w:r>
    </w:p>
    <w:p>
      <w:pPr>
        <w:spacing w:before="0" w:after="120" w:line="240" w:lineRule="auto"/>
        <w:ind w:firstLine="216"/>
      </w:pPr>
      <w:r>
        <w:t xml:space="preserve">Table III provides a compact computation trace from demographic inputs to identity and cost outputs.</w:t>
      </w:r>
    </w:p>
    <w:p>
      <w:pPr>
        <w:spacing w:before="80" w:after="40" w:line="240" w:lineRule="auto"/>
        <w:ind w:firstLine="0"/>
        <w:jc w:val="center"/>
      </w:pPr>
      <w:r>
        <w:rPr>
          <w:rFonts w:ascii="Times New Roman" w:hAnsi="Times New Roman" w:eastAsia="Times New Roman"/>
          <w:b/>
          <w:sz w:val="16"/>
        </w:rPr>
        <w:t>TABLE III. Compact Computation Trace</w:t>
      </w:r>
    </w:p>
    <w:tbl>
      <w:tblPr>
        <w:tblStyle w:val="TableGrid"/>
        <w:tblW w:type="dxa" w:w="5000"/>
        <w:tblW w:w="0"/>
        <w:tblLook w:val="04A0" w:firstRow="1" w:lastRow="0" w:firstColumn="1" w:lastColumn="0" w:noHBand="0" w:noVBand="1"/>
        <w:tblLayout w:type="fixed"/>
        <w:tblCellMar>
          <w:left w:w="30" w:type="dxa"/>
          <w:right w:w="30" w:type="dxa"/>
        </w:tblCellMar>
      </w:tblPr>
      <w:tblGrid>
        <w:gridCol w:w="450"/>
        <w:gridCol w:w="1900"/>
        <w:gridCol w:w="1100"/>
        <w:gridCol w:w="1550"/>
      </w:tblGrid>
      <w:tr>
        <w:tc>
          <w:tcPr>
            <w:tcW w:type="dxa" w:w="450"/>
          </w:tcPr>
          <w:p>
            <w:r>
              <w:rPr>
                <w:rFonts w:ascii="Times New Roman" w:hAnsi="Times New Roman" w:eastAsia="Times New Roman"/>
                <w:b/>
                <w:sz w:val="14"/>
              </w:rPr>
              <w:t xml:space="preserve">Step</w:t>
            </w:r>
          </w:p>
        </w:tc>
        <w:tc>
          <w:tcPr>
            <w:tcW w:type="dxa" w:w="1900"/>
          </w:tcPr>
          <w:p>
            <w:r>
              <w:rPr>
                <w:rFonts w:ascii="Times New Roman" w:hAnsi="Times New Roman" w:eastAsia="Times New Roman"/>
                <w:b/>
                <w:sz w:val="14"/>
              </w:rPr>
              <w:t xml:space="preserve">Expression / operation</w:t>
            </w:r>
          </w:p>
        </w:tc>
        <w:tc>
          <w:tcPr>
            <w:tcW w:type="dxa" w:w="1100"/>
          </w:tcPr>
          <w:p>
            <w:r>
              <w:rPr>
                <w:rFonts w:ascii="Times New Roman" w:hAnsi="Times New Roman" w:eastAsia="Times New Roman"/>
                <w:b/>
                <w:sz w:val="14"/>
              </w:rPr>
              <w:t xml:space="preserve">Output type</w:t>
            </w:r>
          </w:p>
        </w:tc>
        <w:tc>
          <w:tcPr>
            <w:tcW w:type="dxa" w:w="1550"/>
          </w:tcPr>
          <w:p>
            <w:r>
              <w:rPr>
                <w:rFonts w:ascii="Times New Roman" w:hAnsi="Times New Roman" w:eastAsia="Times New Roman"/>
                <w:b/>
                <w:sz w:val="14"/>
              </w:rPr>
              <w:t xml:space="preserve">Interpretation</w:t>
            </w:r>
          </w:p>
        </w:tc>
      </w:tr>
      <w:tr>
        <w:tc>
          <w:tcPr>
            <w:tcW w:type="dxa" w:w="450"/>
          </w:tcPr>
          <w:p>
            <w:r>
              <w:rPr>
                <w:rFonts w:ascii="Times New Roman" w:hAnsi="Times New Roman" w:eastAsia="Times New Roman"/>
                <w:sz w:val="14"/>
              </w:rPr>
              <w:t xml:space="preserve">1</w:t>
            </w:r>
          </w:p>
        </w:tc>
        <w:tc>
          <w:tcPr>
            <w:tcW w:type="dxa" w:w="1900"/>
          </w:tcPr>
          <w:p>
            <w:r>
              <w:rPr>
                <w:rFonts w:ascii="Times New Roman" w:hAnsi="Times New Roman" w:eastAsia="Times New Roman"/>
                <w:sz w:val="14"/>
              </w:rPr>
              <w:t xml:space="preserve">ingest P,q + anchors</w:t>
            </w:r>
          </w:p>
        </w:tc>
        <w:tc>
          <w:tcPr>
            <w:tcW w:type="dxa" w:w="1100"/>
          </w:tcPr>
          <w:p>
            <w:r>
              <w:rPr>
                <w:rFonts w:ascii="Times New Roman" w:hAnsi="Times New Roman" w:eastAsia="Times New Roman"/>
                <w:sz w:val="14"/>
              </w:rPr>
              <w:t xml:space="preserve">inputs</w:t>
            </w:r>
          </w:p>
        </w:tc>
        <w:tc>
          <w:tcPr>
            <w:tcW w:type="dxa" w:w="1550"/>
          </w:tcPr>
          <w:p>
            <w:r>
              <w:rPr>
                <w:rFonts w:ascii="Times New Roman" w:hAnsi="Times New Roman" w:eastAsia="Times New Roman"/>
                <w:sz w:val="14"/>
              </w:rPr>
              <w:t xml:space="preserve">demographic+digital basis</w:t>
            </w:r>
          </w:p>
        </w:tc>
      </w:tr>
      <w:tr>
        <w:tc>
          <w:tcPr>
            <w:tcW w:type="dxa" w:w="450"/>
          </w:tcPr>
          <w:p>
            <w:r>
              <w:rPr>
                <w:rFonts w:ascii="Times New Roman" w:hAnsi="Times New Roman" w:eastAsia="Times New Roman"/>
                <w:sz w:val="14"/>
              </w:rPr>
              <w:t xml:space="preserve">2</w:t>
            </w:r>
          </w:p>
        </w:tc>
        <w:tc>
          <w:tcPr>
            <w:tcW w:type="dxa" w:w="1900"/>
          </w:tcPr>
          <w:p>
            <w:r>
              <w:rPr>
                <w:rFonts w:ascii="Times New Roman" w:hAnsi="Times New Roman" w:eastAsia="Times New Roman"/>
                <w:sz w:val="14"/>
              </w:rPr>
              <w:t xml:space="preserve">apply p_internet and p_social|internet</w:t>
            </w:r>
          </w:p>
        </w:tc>
        <w:tc>
          <w:tcPr>
            <w:tcW w:type="dxa" w:w="1100"/>
          </w:tcPr>
          <w:p>
            <w:r>
              <w:rPr>
                <w:rFonts w:ascii="Times New Roman" w:hAnsi="Times New Roman" w:eastAsia="Times New Roman"/>
                <w:sz w:val="14"/>
              </w:rPr>
              <w:t xml:space="preserve">U_{a,t}</w:t>
            </w:r>
          </w:p>
        </w:tc>
        <w:tc>
          <w:tcPr>
            <w:tcW w:type="dxa" w:w="1550"/>
          </w:tcPr>
          <w:p>
            <w:r>
              <w:rPr>
                <w:rFonts w:ascii="Times New Roman" w:hAnsi="Times New Roman" w:eastAsia="Times New Roman"/>
                <w:sz w:val="14"/>
              </w:rPr>
              <w:t xml:space="preserve">active social-media persons</w:t>
            </w:r>
          </w:p>
        </w:tc>
      </w:tr>
      <w:tr>
        <w:tc>
          <w:tcPr>
            <w:tcW w:type="dxa" w:w="450"/>
          </w:tcPr>
          <w:p>
            <w:r>
              <w:rPr>
                <w:rFonts w:ascii="Times New Roman" w:hAnsi="Times New Roman" w:eastAsia="Times New Roman"/>
                <w:sz w:val="14"/>
              </w:rPr>
              <w:t xml:space="preserve">3</w:t>
            </w:r>
          </w:p>
        </w:tc>
        <w:tc>
          <w:tcPr>
            <w:tcW w:type="dxa" w:w="1900"/>
          </w:tcPr>
          <w:p>
            <w:r>
              <w:rPr>
                <w:rFonts w:ascii="Times New Roman" w:hAnsi="Times New Roman" w:eastAsia="Times New Roman"/>
                <w:sz w:val="14"/>
              </w:rPr>
              <w:t xml:space="preserve">apply q_{a,t} to U_{a,t}</w:t>
            </w:r>
          </w:p>
        </w:tc>
        <w:tc>
          <w:tcPr>
            <w:tcW w:type="dxa" w:w="1100"/>
          </w:tcPr>
          <w:p>
            <w:r>
              <w:rPr>
                <w:rFonts w:ascii="Times New Roman" w:hAnsi="Times New Roman" w:eastAsia="Times New Roman"/>
                <w:sz w:val="14"/>
              </w:rPr>
              <w:t xml:space="preserve">D_person(a,t)</w:t>
            </w:r>
          </w:p>
        </w:tc>
        <w:tc>
          <w:tcPr>
            <w:tcW w:type="dxa" w:w="1550"/>
          </w:tcPr>
          <w:p>
            <w:r>
              <w:rPr>
                <w:rFonts w:ascii="Times New Roman" w:hAnsi="Times New Roman" w:eastAsia="Times New Roman"/>
                <w:sz w:val="14"/>
              </w:rPr>
              <w:t xml:space="preserve">age-year deceased flow</w:t>
            </w:r>
          </w:p>
        </w:tc>
      </w:tr>
      <w:tr>
        <w:tc>
          <w:tcPr>
            <w:tcW w:type="dxa" w:w="450"/>
          </w:tcPr>
          <w:p>
            <w:r>
              <w:rPr>
                <w:rFonts w:ascii="Times New Roman" w:hAnsi="Times New Roman" w:eastAsia="Times New Roman"/>
                <w:sz w:val="14"/>
              </w:rPr>
              <w:t xml:space="preserve">4</w:t>
            </w:r>
          </w:p>
        </w:tc>
        <w:tc>
          <w:tcPr>
            <w:tcW w:type="dxa" w:w="1900"/>
          </w:tcPr>
          <w:p>
            <w:r>
              <w:rPr>
                <w:rFonts w:ascii="Times New Roman" w:hAnsi="Times New Roman" w:eastAsia="Times New Roman"/>
                <w:sz w:val="14"/>
              </w:rPr>
              <w:t xml:space="preserve">aggregate over age</w:t>
            </w:r>
          </w:p>
        </w:tc>
        <w:tc>
          <w:tcPr>
            <w:tcW w:type="dxa" w:w="1100"/>
          </w:tcPr>
          <w:p>
            <w:r>
              <w:rPr>
                <w:rFonts w:ascii="Times New Roman" w:hAnsi="Times New Roman" w:eastAsia="Times New Roman"/>
                <w:sz w:val="14"/>
              </w:rPr>
              <w:t xml:space="preserve">D_person(t)</w:t>
            </w:r>
          </w:p>
        </w:tc>
        <w:tc>
          <w:tcPr>
            <w:tcW w:type="dxa" w:w="1550"/>
          </w:tcPr>
          <w:p>
            <w:r>
              <w:rPr>
                <w:rFonts w:ascii="Times New Roman" w:hAnsi="Times New Roman" w:eastAsia="Times New Roman"/>
                <w:sz w:val="14"/>
              </w:rPr>
              <w:t xml:space="preserve">person-level annual total</w:t>
            </w:r>
          </w:p>
        </w:tc>
      </w:tr>
      <w:tr>
        <w:tc>
          <w:tcPr>
            <w:tcW w:type="dxa" w:w="450"/>
          </w:tcPr>
          <w:p>
            <w:r>
              <w:rPr>
                <w:rFonts w:ascii="Times New Roman" w:hAnsi="Times New Roman" w:eastAsia="Times New Roman"/>
                <w:sz w:val="14"/>
              </w:rPr>
              <w:t xml:space="preserve">5</w:t>
            </w:r>
          </w:p>
        </w:tc>
        <w:tc>
          <w:tcPr>
            <w:tcW w:type="dxa" w:w="1900"/>
          </w:tcPr>
          <w:p>
            <w:r>
              <w:rPr>
                <w:rFonts w:ascii="Times New Roman" w:hAnsi="Times New Roman" w:eastAsia="Times New Roman"/>
                <w:sz w:val="14"/>
              </w:rPr>
              <w:t xml:space="preserve">map with s_t and kappa_t</w:t>
            </w:r>
          </w:p>
        </w:tc>
        <w:tc>
          <w:tcPr>
            <w:tcW w:type="dxa" w:w="1100"/>
          </w:tcPr>
          <w:p>
            <w:r>
              <w:rPr>
                <w:rFonts w:ascii="Times New Roman" w:hAnsi="Times New Roman" w:eastAsia="Times New Roman"/>
                <w:sz w:val="14"/>
              </w:rPr>
              <w:t xml:space="preserve">D_platform,t, I_t (annual)</w:t>
            </w:r>
          </w:p>
        </w:tc>
        <w:tc>
          <w:tcPr>
            <w:tcW w:type="dxa" w:w="1550"/>
          </w:tcPr>
          <w:p>
            <w:r>
              <w:rPr>
                <w:rFonts w:ascii="Times New Roman" w:hAnsi="Times New Roman" w:eastAsia="Times New Roman"/>
                <w:sz w:val="14"/>
              </w:rPr>
              <w:t xml:space="preserve">annual identity inflow mapping</w:t>
            </w:r>
          </w:p>
        </w:tc>
      </w:tr>
      <w:tr>
        <w:tc>
          <w:tcPr>
            <w:tcW w:type="dxa" w:w="450"/>
          </w:tcPr>
          <w:p>
            <w:r>
              <w:rPr>
                <w:rFonts w:ascii="Times New Roman" w:hAnsi="Times New Roman" w:eastAsia="Times New Roman"/>
                <w:sz w:val="14"/>
              </w:rPr>
              <w:t xml:space="preserve">6</w:t>
            </w:r>
          </w:p>
        </w:tc>
        <w:tc>
          <w:tcPr>
            <w:tcW w:type="dxa" w:w="1900"/>
          </w:tcPr>
          <w:p>
            <w:r>
              <w:rPr>
                <w:rFonts w:ascii="Times New Roman" w:hAnsi="Times New Roman" w:eastAsia="Times New Roman"/>
                <w:sz w:val="14"/>
              </w:rPr>
              <w:t xml:space="preserve">cumulate to S_*; apply rho_t + C_* envelope</w:t>
            </w:r>
          </w:p>
        </w:tc>
        <w:tc>
          <w:tcPr>
            <w:tcW w:type="dxa" w:w="1100"/>
          </w:tcPr>
          <w:p>
            <w:r>
              <w:rPr>
                <w:rFonts w:ascii="Times New Roman" w:hAnsi="Times New Roman" w:eastAsia="Times New Roman"/>
                <w:sz w:val="14"/>
              </w:rPr>
              <w:t xml:space="preserve">S_platform(T), S_identity(T), C_t</w:t>
            </w:r>
          </w:p>
        </w:tc>
        <w:tc>
          <w:tcPr>
            <w:tcW w:type="dxa" w:w="1550"/>
          </w:tcPr>
          <w:p>
            <w:r>
              <w:rPr>
                <w:rFonts w:ascii="Times New Roman" w:hAnsi="Times New Roman" w:eastAsia="Times New Roman"/>
                <w:sz w:val="14"/>
              </w:rPr>
              <w:t xml:space="preserve">cumulative stock + stress-test outputs</w:t>
            </w:r>
          </w:p>
        </w:tc>
      </w:tr>
    </w:tbl>
    <w:p>
      <w:pPr>
        <w:spacing w:before="0" w:after="120" w:line="240" w:lineRule="auto"/>
        <w:ind w:firstLine="216"/>
      </w:pPr>
      <w:r>
        <w:t xml:space="preserve">These tables improve parameter traceability and scenario auditability; full external recomputation still requires age-year intermediate sheets or open simulation code.</w:t>
      </w:r>
    </w:p>
    <w:p>
      <w:pPr>
        <w:spacing w:before="120" w:after="80" w:line="240" w:lineRule="auto"/>
        <w:ind w:firstLine="0"/>
      </w:pPr>
      <w:r>
        <w:rPr>
          <w:rFonts w:ascii="Times New Roman" w:hAnsi="Times New Roman" w:eastAsia="Times New Roman"/>
          <w:b/>
          <w:i w:val="0"/>
          <w:sz w:val="20"/>
        </w:rPr>
        <w:t>REFERENCES</w:t>
      </w:r>
    </w:p>
    <w:p>
      <w:pPr>
        <w:spacing w:before="0" w:after="40" w:line="240" w:lineRule="auto"/>
        <w:ind w:firstLine="0" w:left="0"/>
        <w:jc w:val="both"/>
      </w:pPr>
      <w:r>
        <w:rPr>
          <w:rFonts w:ascii="Times New Roman" w:hAnsi="Times New Roman" w:eastAsia="Times New Roman"/>
          <w:b w:val="0"/>
          <w:i w:val="0"/>
          <w:sz w:val="20"/>
        </w:rPr>
        <w:t>[1] United Nations, Department of Economic and Social Affairs, Population Division, "World Population Prospects 2024: Dataset," 2024. [Online]. Available: https://www.un.org/development/desa/pd/content/world-population-prospects-2024-dataset</w:t>
      </w:r>
    </w:p>
    <w:p>
      <w:pPr>
        <w:spacing w:before="0" w:after="40" w:line="240" w:lineRule="auto"/>
        <w:ind w:firstLine="0" w:left="0"/>
        <w:jc w:val="both"/>
      </w:pPr>
      <w:r>
        <w:rPr>
          <w:rFonts w:ascii="Times New Roman" w:hAnsi="Times New Roman" w:eastAsia="Times New Roman"/>
          <w:b w:val="0"/>
          <w:i w:val="0"/>
          <w:sz w:val="20"/>
        </w:rPr>
        <w:t>[2] International Telecommunication Union (ITU), "Facts and Figures 2024 - Internet use," 2024. [Online]. Available: https://www.itu.int/itu-d/reports/statistics/2024/11/10/ff24-internet-use/</w:t>
      </w:r>
    </w:p>
    <w:p>
      <w:pPr>
        <w:spacing w:before="0" w:after="40" w:line="240" w:lineRule="auto"/>
        <w:ind w:firstLine="0" w:left="0"/>
        <w:jc w:val="both"/>
      </w:pPr>
      <w:r>
        <w:rPr>
          <w:rFonts w:ascii="Times New Roman" w:hAnsi="Times New Roman" w:eastAsia="Times New Roman"/>
          <w:b w:val="0"/>
          <w:i w:val="0"/>
          <w:sz w:val="20"/>
        </w:rPr>
        <w:t>[3] DataReportal, "Digital 2024 Deep-Dive: 5 billion social media users," 2024. [Online]. Available: https://datareportal.com/reports/digital-2024-deep-dive-5-billion-social-media-users</w:t>
      </w:r>
    </w:p>
    <w:p>
      <w:pPr>
        <w:spacing w:before="0" w:after="40" w:line="240" w:lineRule="auto"/>
        <w:ind w:firstLine="0" w:left="0"/>
        <w:jc w:val="both"/>
      </w:pPr>
      <w:r>
        <w:rPr>
          <w:rFonts w:ascii="Times New Roman" w:hAnsi="Times New Roman" w:eastAsia="Times New Roman"/>
          <w:b w:val="0"/>
          <w:i w:val="0"/>
          <w:sz w:val="20"/>
        </w:rPr>
        <w:t>[4] World Bank, "Death rate, crude (per 1,000 people), indicator SP.DYN.CDRT.IN." [Online]. Available: https://data.worldbank.org/indicator/SP.DYN.CDRT.IN</w:t>
      </w:r>
    </w:p>
    <w:p>
      <w:pPr>
        <w:spacing w:before="0" w:after="40" w:line="240" w:lineRule="auto"/>
        <w:ind w:firstLine="0" w:left="0"/>
        <w:jc w:val="both"/>
      </w:pPr>
      <w:r>
        <w:rPr>
          <w:rFonts w:ascii="Times New Roman" w:hAnsi="Times New Roman" w:eastAsia="Times New Roman"/>
          <w:b w:val="0"/>
          <w:i w:val="0"/>
          <w:sz w:val="20"/>
        </w:rPr>
        <w:t>[5] Meta, "Memorialized accounts," Help Center. [Online]. Available: https://www.facebook.com/help/103897939701143</w:t>
      </w:r>
    </w:p>
    <w:p>
      <w:pPr>
        <w:spacing w:before="0" w:after="40" w:line="240" w:lineRule="auto"/>
        <w:ind w:firstLine="0" w:left="0"/>
        <w:jc w:val="both"/>
      </w:pPr>
      <w:r>
        <w:rPr>
          <w:rFonts w:ascii="Times New Roman" w:hAnsi="Times New Roman" w:eastAsia="Times New Roman"/>
          <w:b w:val="0"/>
          <w:i w:val="0"/>
          <w:sz w:val="20"/>
        </w:rPr>
        <w:t xml:space="preserve">[6] C. J. Ohman and D. Watson, "Are the dead taking over Facebook? A Big Data approach to the future of death online," Big Data &amp; Society, vol. 6, no. 1, 2019, doi: 10.1177/2053951719842540.</w:t>
      </w:r>
    </w:p>
    <w:p>
      <w:pPr>
        <w:spacing w:before="0" w:after="40" w:line="240" w:lineRule="auto"/>
        <w:ind w:firstLine="0" w:left="0"/>
        <w:jc w:val="both"/>
      </w:pPr>
      <w:r>
        <w:rPr>
          <w:rFonts w:ascii="Times New Roman" w:hAnsi="Times New Roman" w:eastAsia="Times New Roman"/>
          <w:b w:val="0"/>
          <w:i w:val="0"/>
          <w:sz w:val="20"/>
        </w:rPr>
        <w:t xml:space="preserve">[7] Google, "About Inactive Account Manager," Google Account Help. [Online]. Available: https://support.google.com/accounts/answer/3036546</w:t>
      </w:r>
    </w:p>
    <w:p>
      <w:pPr>
        <w:spacing w:before="0" w:after="40" w:line="240" w:lineRule="auto"/>
        <w:ind w:firstLine="0" w:left="0"/>
        <w:jc w:val="both"/>
      </w:pPr>
      <w:r>
        <w:rPr>
          <w:rFonts w:ascii="Times New Roman" w:hAnsi="Times New Roman" w:eastAsia="Times New Roman"/>
          <w:b w:val="0"/>
          <w:i w:val="0"/>
          <w:sz w:val="20"/>
        </w:rPr>
        <w:t xml:space="preserve">[8] Apple, "How to add a Legacy Contact for your Apple Account," Apple Support. [Online]. Available: https://support.apple.com/en-us/102631</w:t>
      </w:r>
    </w:p>
    <w:sectPr w:rsidR="00FC693F" w:rsidRPr="0006063C" w:rsidSect="00034616">
      <w:type w:val="continuous"/>
      <w:pgSz w:w="12240" w:h="15840"/>
      <w:pgMar w:top="1080" w:right="900" w:bottom="1440" w:left="900" w:header="720" w:footer="720" w:gutter="0"/>
      <w:cols w:space="34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Samandar Mukhammadiev</dc:creator>
  <cp:keywords/>
  <dc:description>generated by python-docx</dc:description>
  <cp:lastModifiedBy>Samandar Mukhammadiev</cp:lastModifiedBy>
  <cp:revision>1</cp:revision>
  <dcterms:created xsi:type="dcterms:W3CDTF">2013-12-23T23:15:00Z</dcterms:created>
  <dcterms:modified xsi:type="dcterms:W3CDTF">2013-12-23T23:15:00Z</dcterms:modified>
  <cp:category/>
</cp:coreProperties>
</file>