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90.0" w:type="dxa"/>
      </w:tblPr>
      <w:tblGrid>
        <w:gridCol w:w="5504"/>
        <w:gridCol w:w="5504"/>
      </w:tblGrid>
      <w:tr>
        <w:trPr>
          <w:trHeight w:hRule="exact" w:val="1122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310" w:right="288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48"/>
              </w:rPr>
              <w:t xml:space="preserve">INTERNATIONAL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48"/>
              </w:rPr>
              <w:t>STANDARD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422" w:right="0" w:firstLine="1118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48"/>
              </w:rPr>
              <w:t xml:space="preserve">ISO </w:t>
            </w:r>
            <w:r>
              <w:rPr>
                <w:rFonts w:ascii="Cambria" w:hAnsi="Cambria" w:eastAsia="Cambria"/>
                <w:b/>
                <w:i w:val="0"/>
                <w:color w:val="221F1F"/>
                <w:sz w:val="48"/>
              </w:rPr>
              <w:t>26262-9</w:t>
            </w:r>
          </w:p>
        </w:tc>
      </w:tr>
    </w:tbl>
    <w:p>
      <w:pPr>
        <w:autoSpaceDN w:val="0"/>
        <w:autoSpaceDE w:val="0"/>
        <w:widowControl/>
        <w:spacing w:line="240" w:lineRule="auto" w:before="636" w:after="0"/>
        <w:ind w:left="0" w:right="30" w:firstLine="0"/>
        <w:jc w:val="right"/>
      </w:pPr>
      <w:r>
        <w:rPr>
          <w:rFonts w:ascii="Cambria" w:hAnsi="Cambria" w:eastAsia="Cambria"/>
          <w:b w:val="0"/>
          <w:i w:val="0"/>
          <w:color w:val="221F1F"/>
          <w:sz w:val="20"/>
        </w:rPr>
        <w:t>Second edition</w:t>
      </w:r>
    </w:p>
    <w:p>
      <w:pPr>
        <w:autoSpaceDN w:val="0"/>
        <w:autoSpaceDE w:val="0"/>
        <w:widowControl/>
        <w:spacing w:line="240" w:lineRule="auto" w:before="0" w:after="0"/>
        <w:ind w:left="0" w:right="30" w:firstLine="0"/>
        <w:jc w:val="right"/>
      </w:pPr>
      <w:r>
        <w:rPr>
          <w:rFonts w:ascii="Cambria" w:hAnsi="Cambria" w:eastAsia="Cambria"/>
          <w:b w:val="0"/>
          <w:i w:val="0"/>
          <w:color w:val="221F1F"/>
          <w:sz w:val="20"/>
        </w:rPr>
        <w:t>2018-12</w:t>
      </w:r>
    </w:p>
    <w:p>
      <w:pPr>
        <w:autoSpaceDN w:val="0"/>
        <w:autoSpaceDE w:val="0"/>
        <w:widowControl/>
        <w:spacing w:line="240" w:lineRule="auto" w:before="2266" w:after="0"/>
        <w:ind w:left="0" w:right="358" w:firstLine="0"/>
        <w:jc w:val="right"/>
      </w:pPr>
      <w:r>
        <w:rPr>
          <w:rFonts w:ascii="Cambria" w:hAnsi="Cambria" w:eastAsia="Cambria"/>
          <w:b/>
          <w:i w:val="0"/>
          <w:color w:val="221F1F"/>
          <w:sz w:val="36"/>
        </w:rPr>
        <w:t>Road vehicles — Functional safety —</w:t>
      </w:r>
    </w:p>
    <w:p>
      <w:pPr>
        <w:autoSpaceDN w:val="0"/>
        <w:autoSpaceDE w:val="0"/>
        <w:widowControl/>
        <w:spacing w:line="245" w:lineRule="auto" w:before="128" w:after="0"/>
        <w:ind w:left="4600" w:right="432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36"/>
        </w:rPr>
        <w:t xml:space="preserve">Part 9: </w:t>
      </w:r>
      <w:r>
        <w:br/>
      </w:r>
      <w:r>
        <w:rPr>
          <w:rFonts w:ascii="Cambria" w:hAnsi="Cambria" w:eastAsia="Cambria"/>
          <w:b/>
          <w:i w:val="0"/>
          <w:color w:val="221F1F"/>
          <w:sz w:val="36"/>
        </w:rPr>
        <w:t xml:space="preserve">Automotive safety integrity level </w:t>
      </w:r>
      <w:r>
        <w:rPr>
          <w:rFonts w:ascii="Cambria" w:hAnsi="Cambria" w:eastAsia="Cambria"/>
          <w:b/>
          <w:i w:val="0"/>
          <w:color w:val="221F1F"/>
          <w:sz w:val="36"/>
        </w:rPr>
        <w:t xml:space="preserve">(ASIL)-oriented and safety-oriented </w:t>
      </w:r>
      <w:r>
        <w:rPr>
          <w:rFonts w:ascii="Cambria" w:hAnsi="Cambria" w:eastAsia="Cambria"/>
          <w:b/>
          <w:i w:val="0"/>
          <w:color w:val="221F1F"/>
          <w:sz w:val="36"/>
        </w:rPr>
        <w:t>analyses</w:t>
      </w:r>
    </w:p>
    <w:p>
      <w:pPr>
        <w:autoSpaceDN w:val="0"/>
        <w:autoSpaceDE w:val="0"/>
        <w:widowControl/>
        <w:spacing w:line="240" w:lineRule="auto" w:before="236" w:after="0"/>
        <w:ind w:left="0" w:right="2224" w:firstLine="0"/>
        <w:jc w:val="right"/>
      </w:pPr>
      <w:r>
        <w:rPr>
          <w:rFonts w:ascii="Cambria" w:hAnsi="Cambria" w:eastAsia="Cambria"/>
          <w:b w:val="0"/>
          <w:i/>
          <w:color w:val="221F1F"/>
          <w:sz w:val="22"/>
        </w:rPr>
        <w:t>Véhicules routiers — Sécurité fonctionnelle —</w:t>
      </w:r>
    </w:p>
    <w:p>
      <w:pPr>
        <w:autoSpaceDN w:val="0"/>
        <w:autoSpaceDE w:val="0"/>
        <w:widowControl/>
        <w:spacing w:line="240" w:lineRule="auto" w:before="98" w:after="0"/>
        <w:ind w:left="0" w:right="20" w:firstLine="0"/>
        <w:jc w:val="right"/>
      </w:pPr>
      <w:r>
        <w:rPr>
          <w:rFonts w:ascii="Cambria" w:hAnsi="Cambria" w:eastAsia="Cambria"/>
          <w:b w:val="0"/>
          <w:i/>
          <w:color w:val="221F1F"/>
          <w:sz w:val="22"/>
        </w:rPr>
        <w:t xml:space="preserve">Partie 9: Analyses liées aux niveaux d'intégrité de sécurité automobile </w:t>
      </w:r>
    </w:p>
    <w:p>
      <w:pPr>
        <w:autoSpaceDN w:val="0"/>
        <w:autoSpaceDE w:val="0"/>
        <w:widowControl/>
        <w:spacing w:line="240" w:lineRule="auto" w:before="0" w:after="1526"/>
        <w:ind w:left="0" w:right="4444" w:firstLine="0"/>
        <w:jc w:val="right"/>
      </w:pPr>
      <w:r>
        <w:rPr>
          <w:rFonts w:ascii="Cambria" w:hAnsi="Cambria" w:eastAsia="Cambria"/>
          <w:b w:val="0"/>
          <w:i/>
          <w:color w:val="221F1F"/>
          <w:sz w:val="22"/>
        </w:rPr>
        <w:t>(ASIL) et à la sécurité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69"/>
        <w:gridCol w:w="3669"/>
        <w:gridCol w:w="3669"/>
      </w:tblGrid>
      <w:tr>
        <w:trPr>
          <w:trHeight w:hRule="exact" w:val="5502"/>
        </w:trPr>
        <w:tc>
          <w:tcPr>
            <w:tcW w:type="dxa" w:w="239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5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66" w:after="0"/>
              <w:ind w:left="0" w:right="16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0" cy="698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9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68" w:after="0"/>
              <w:ind w:left="0" w:right="12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Reference number</w:t>
            </w:r>
          </w:p>
        </w:tc>
      </w:tr>
      <w:tr>
        <w:trPr>
          <w:trHeight w:hRule="exact" w:val="484"/>
        </w:trPr>
        <w:tc>
          <w:tcPr>
            <w:tcW w:type="dxa" w:w="3669"/>
            <w:vMerge/>
            <w:tcBorders/>
          </w:tcPr>
          <w:p/>
        </w:tc>
        <w:tc>
          <w:tcPr>
            <w:tcW w:type="dxa" w:w="3669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2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26262-9:2018(E)</w:t>
            </w:r>
          </w:p>
        </w:tc>
      </w:tr>
      <w:tr>
        <w:trPr>
          <w:trHeight w:hRule="exact" w:val="598"/>
        </w:trPr>
        <w:tc>
          <w:tcPr>
            <w:tcW w:type="dxa" w:w="3669"/>
            <w:vMerge/>
            <w:tcBorders/>
          </w:tcPr>
          <w:p/>
        </w:tc>
        <w:tc>
          <w:tcPr>
            <w:tcW w:type="dxa" w:w="3669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12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6"/>
              </w:rPr>
              <w:t>©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ISO 2018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12" w:right="708" w:bottom="200" w:left="190" w:header="720" w:footer="720" w:gutter="0"/>
          <w:cols w:space="720" w:num="1" w:equalWidth="0"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1132" w:val="left"/>
        </w:tabs>
        <w:autoSpaceDE w:val="0"/>
        <w:widowControl/>
        <w:spacing w:line="240" w:lineRule="auto" w:before="1120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0220" cy="4305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" cy="43052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mbria" w:hAnsi="Cambria" w:eastAsia="Cambria"/>
          <w:b/>
          <w:i w:val="0"/>
          <w:color w:val="221F1F"/>
          <w:sz w:val="24"/>
        </w:rPr>
        <w:t>COPYRIGHT PROTECTED DOCUMENT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>©  ISO 2018</w:t>
      </w:r>
    </w:p>
    <w:p>
      <w:pPr>
        <w:autoSpaceDN w:val="0"/>
        <w:autoSpaceDE w:val="0"/>
        <w:widowControl/>
        <w:spacing w:line="245" w:lineRule="auto" w:before="44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All rights reserved. Unless otherwise specified, or required in the context of its implementation, no part of this publication may </w:t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be reproduced or utilized otherwise in any form or by any means, electronic or mechanical, including photocopying, or posting </w:t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on the internet or an intranet, without prior written permission. Permission can be requested from either ISO at the address </w:t>
      </w:r>
      <w:r>
        <w:rPr>
          <w:rFonts w:ascii="Cambria" w:hAnsi="Cambria" w:eastAsia="Cambria"/>
          <w:b w:val="0"/>
          <w:i w:val="0"/>
          <w:color w:val="221F1F"/>
          <w:sz w:val="18"/>
        </w:rPr>
        <w:t>below or ISO’s member body in the country of the requester.</w:t>
      </w:r>
    </w:p>
    <w:p>
      <w:pPr>
        <w:autoSpaceDN w:val="0"/>
        <w:autoSpaceDE w:val="0"/>
        <w:widowControl/>
        <w:spacing w:line="245" w:lineRule="auto" w:before="44" w:after="0"/>
        <w:ind w:left="254" w:right="720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ISO copyright office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CP 401 • Ch. de Blandonnet 8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CH-1214 Vernier, Geneva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Phone: +41 22 749 01 11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Fax: +41 22 749 09 47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Email: copyright@iso.org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18"/>
        </w:rPr>
        <w:t>Website: www.iso.org</w:t>
      </w:r>
    </w:p>
    <w:p>
      <w:pPr>
        <w:autoSpaceDN w:val="0"/>
        <w:autoSpaceDE w:val="0"/>
        <w:widowControl/>
        <w:spacing w:line="240" w:lineRule="auto" w:before="4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>Published in Switzerland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23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ii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8" w:bottom="258" w:left="738" w:header="720" w:footer="720" w:gutter="0"/>
          <w:cols w:space="720" w:num="1" w:equalWidth="0"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9346" w:val="left"/>
        </w:tabs>
        <w:autoSpaceDE w:val="0"/>
        <w:widowControl/>
        <w:spacing w:line="240" w:lineRule="auto" w:before="69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Contents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Page</w:t>
      </w:r>
    </w:p>
    <w:p>
      <w:pPr>
        <w:autoSpaceDN w:val="0"/>
        <w:autoSpaceDE w:val="0"/>
        <w:widowControl/>
        <w:spacing w:line="286" w:lineRule="auto" w:before="304" w:after="48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Foreword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v </w:t>
      </w:r>
      <w:r>
        <w:rPr>
          <w:rFonts w:ascii="Cambria" w:hAnsi="Cambria" w:eastAsia="Cambria"/>
          <w:b/>
          <w:i w:val="0"/>
          <w:color w:val="221F1F"/>
          <w:sz w:val="22"/>
        </w:rPr>
        <w:t>Introduction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>vii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42"/>
        <w:gridCol w:w="2442"/>
        <w:gridCol w:w="2442"/>
        <w:gridCol w:w="2442"/>
      </w:tblGrid>
      <w:tr>
        <w:trPr>
          <w:trHeight w:hRule="exact" w:val="1356"/>
        </w:trPr>
        <w:tc>
          <w:tcPr>
            <w:tcW w:type="dxa" w:w="4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1 </w:t>
            </w:r>
          </w:p>
          <w:p>
            <w:pPr>
              <w:autoSpaceDN w:val="0"/>
              <w:autoSpaceDE w:val="0"/>
              <w:widowControl/>
              <w:spacing w:line="240" w:lineRule="auto" w:before="98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2 </w:t>
            </w:r>
          </w:p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3 </w:t>
            </w:r>
          </w:p>
          <w:p>
            <w:pPr>
              <w:autoSpaceDN w:val="0"/>
              <w:autoSpaceDE w:val="0"/>
              <w:widowControl/>
              <w:spacing w:line="240" w:lineRule="auto" w:before="98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4 </w:t>
            </w:r>
          </w:p>
          <w:p>
            <w:pPr>
              <w:autoSpaceDN w:val="0"/>
              <w:autoSpaceDE w:val="0"/>
              <w:widowControl/>
              <w:spacing w:line="240" w:lineRule="auto" w:before="1550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5 </w:t>
            </w:r>
          </w:p>
          <w:p>
            <w:pPr>
              <w:autoSpaceDN w:val="0"/>
              <w:autoSpaceDE w:val="0"/>
              <w:widowControl/>
              <w:spacing w:line="238" w:lineRule="auto" w:before="1792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6 </w:t>
            </w:r>
          </w:p>
          <w:p>
            <w:pPr>
              <w:autoSpaceDN w:val="0"/>
              <w:autoSpaceDE w:val="0"/>
              <w:widowControl/>
              <w:spacing w:line="240" w:lineRule="auto" w:before="1792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7 </w:t>
            </w:r>
          </w:p>
          <w:p>
            <w:pPr>
              <w:autoSpaceDN w:val="0"/>
              <w:autoSpaceDE w:val="0"/>
              <w:widowControl/>
              <w:spacing w:line="240" w:lineRule="auto" w:before="1792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8 </w:t>
            </w:r>
          </w:p>
        </w:tc>
        <w:tc>
          <w:tcPr>
            <w:tcW w:type="dxa" w:w="9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7" w:lineRule="auto" w:before="32" w:after="0"/>
              <w:ind w:left="258" w:right="0" w:firstLine="0"/>
              <w:jc w:val="both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Scope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1 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Normative references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2 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Terms and definitions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2 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Requirements for compliance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2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4.1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Purpose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2</w:t>
            </w:r>
          </w:p>
        </w:tc>
      </w:tr>
      <w:tr>
        <w:trPr>
          <w:trHeight w:hRule="exact" w:val="254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4.2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General requirements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2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4.3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Interpretations of tables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3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4.4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ASIL-dependent requirements and recommendations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3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4.5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Adaptation for motorcycles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3</w:t>
            </w:r>
          </w:p>
        </w:tc>
      </w:tr>
      <w:tr>
        <w:trPr>
          <w:trHeight w:hRule="exact" w:val="28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4.6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Adaptation for trucks, buses, trailers and semi-trailers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>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4</w:t>
            </w:r>
          </w:p>
        </w:tc>
      </w:tr>
      <w:tr>
        <w:trPr>
          <w:trHeight w:hRule="exact" w:val="318"/>
        </w:trPr>
        <w:tc>
          <w:tcPr>
            <w:tcW w:type="dxa" w:w="2442"/>
            <w:vMerge/>
            <w:tcBorders/>
          </w:tcPr>
          <w:p/>
        </w:tc>
        <w:tc>
          <w:tcPr>
            <w:tcW w:type="dxa" w:w="9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5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Requirements decomposition with respect to ASIL tailoring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4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5.1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Objectives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>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4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5.2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General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4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5.3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Inputs to this clause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5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5.3.1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Prerequisites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5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5.3.2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Further supporting information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5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5.4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Requirements and recommendations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5</w:t>
            </w:r>
          </w:p>
        </w:tc>
      </w:tr>
      <w:tr>
        <w:trPr>
          <w:trHeight w:hRule="exact" w:val="30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5.5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Work products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9</w:t>
            </w:r>
          </w:p>
        </w:tc>
      </w:tr>
      <w:tr>
        <w:trPr>
          <w:trHeight w:hRule="exact" w:val="300"/>
        </w:trPr>
        <w:tc>
          <w:tcPr>
            <w:tcW w:type="dxa" w:w="2442"/>
            <w:vMerge/>
            <w:tcBorders/>
          </w:tcPr>
          <w:p/>
        </w:tc>
        <w:tc>
          <w:tcPr>
            <w:tcW w:type="dxa" w:w="9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4" w:after="0"/>
              <w:ind w:left="25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Criteria for coexistence of elements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9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6.1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Objectives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>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9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6.2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General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9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6.3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Inputs to this clause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9</w:t>
            </w:r>
          </w:p>
        </w:tc>
      </w:tr>
      <w:tr>
        <w:trPr>
          <w:trHeight w:hRule="exact" w:val="256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6.3.1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Prerequisites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 9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6.3.2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Further supporting information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10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6.4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Requirements and recommendations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10</w:t>
            </w:r>
          </w:p>
        </w:tc>
      </w:tr>
      <w:tr>
        <w:trPr>
          <w:trHeight w:hRule="exact" w:val="28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6.5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Work products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10</w:t>
            </w:r>
          </w:p>
        </w:tc>
      </w:tr>
      <w:tr>
        <w:trPr>
          <w:trHeight w:hRule="exact" w:val="316"/>
        </w:trPr>
        <w:tc>
          <w:tcPr>
            <w:tcW w:type="dxa" w:w="2442"/>
            <w:vMerge/>
            <w:tcBorders/>
          </w:tcPr>
          <w:p/>
        </w:tc>
        <w:tc>
          <w:tcPr>
            <w:tcW w:type="dxa" w:w="9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25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Analysis of dependent failures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11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7.1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Objectives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>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11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7.2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General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11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7.3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Inputs to this clause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12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7.3.1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Prerequisites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12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7.3.2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Further supporting information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12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7.4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Requirements and recommendations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12</w:t>
            </w:r>
          </w:p>
        </w:tc>
      </w:tr>
      <w:tr>
        <w:trPr>
          <w:trHeight w:hRule="exact" w:val="30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7.5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Work products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14</w:t>
            </w:r>
          </w:p>
        </w:tc>
      </w:tr>
      <w:tr>
        <w:trPr>
          <w:trHeight w:hRule="exact" w:val="300"/>
        </w:trPr>
        <w:tc>
          <w:tcPr>
            <w:tcW w:type="dxa" w:w="2442"/>
            <w:vMerge/>
            <w:tcBorders/>
          </w:tcPr>
          <w:p/>
        </w:tc>
        <w:tc>
          <w:tcPr>
            <w:tcW w:type="dxa" w:w="93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25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Safety analyses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14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8.1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Objectives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>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14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8.2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General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15</w:t>
            </w:r>
          </w:p>
        </w:tc>
      </w:tr>
      <w:tr>
        <w:trPr>
          <w:trHeight w:hRule="exact" w:val="24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8.3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Inputs to this clause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16</w:t>
            </w:r>
          </w:p>
        </w:tc>
      </w:tr>
      <w:tr>
        <w:trPr>
          <w:trHeight w:hRule="exact" w:val="254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8.3.1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Prerequisites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16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8.3.2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Further supporting information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16</w:t>
            </w:r>
          </w:p>
        </w:tc>
      </w:tr>
      <w:tr>
        <w:trPr>
          <w:trHeight w:hRule="exact" w:val="242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8.4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Requirements and recommendations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16</w:t>
            </w:r>
          </w:p>
        </w:tc>
      </w:tr>
      <w:tr>
        <w:trPr>
          <w:trHeight w:hRule="exact" w:val="310"/>
        </w:trPr>
        <w:tc>
          <w:tcPr>
            <w:tcW w:type="dxa" w:w="2442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8.5 </w:t>
            </w:r>
          </w:p>
        </w:tc>
        <w:tc>
          <w:tcPr>
            <w:tcW w:type="dxa" w:w="8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Work products</w:t>
            </w:r>
            <w:r>
              <w:rPr>
                <w:rFonts w:ascii="Cambria" w:hAnsi="Cambria" w:eastAsia="Cambria"/>
                <w:b w:val="0"/>
                <w:i w:val="0"/>
                <w:color w:val="808284"/>
                <w:sz w:val="18"/>
              </w:rPr>
              <w:t xml:space="preserve"> 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18</w:t>
            </w:r>
          </w:p>
        </w:tc>
      </w:tr>
    </w:tbl>
    <w:p>
      <w:pPr>
        <w:autoSpaceDN w:val="0"/>
        <w:tabs>
          <w:tab w:pos="680" w:val="left"/>
        </w:tabs>
        <w:autoSpaceDE w:val="0"/>
        <w:widowControl/>
        <w:spacing w:line="271" w:lineRule="auto" w:before="3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Annex A </w:t>
      </w:r>
      <w:r>
        <w:rPr>
          <w:rFonts w:ascii="Cambria" w:hAnsi="Cambria" w:eastAsia="Cambria"/>
          <w:b w:val="0"/>
          <w:i w:val="0"/>
          <w:color w:val="221F1F"/>
          <w:sz w:val="22"/>
        </w:rPr>
        <w:t>(informative)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 Overview of and document flow of Automotive Safety Integrity Level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(ASIL)-oriented and safety-oriented analyses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19 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Annex B </w:t>
      </w:r>
      <w:r>
        <w:rPr>
          <w:rFonts w:ascii="Cambria" w:hAnsi="Cambria" w:eastAsia="Cambria"/>
          <w:b w:val="0"/>
          <w:i w:val="0"/>
          <w:color w:val="221F1F"/>
          <w:sz w:val="22"/>
        </w:rPr>
        <w:t>(informative)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 Example architectures for Coexistence of elements and </w:t>
      </w:r>
      <w:r>
        <w:br/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Decomposition of requirements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.......................................................................................................................................................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23 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Annex C </w:t>
      </w:r>
      <w:r>
        <w:rPr>
          <w:rFonts w:ascii="Cambria" w:hAnsi="Cambria" w:eastAsia="Cambria"/>
          <w:b w:val="0"/>
          <w:i w:val="0"/>
          <w:color w:val="221F1F"/>
          <w:sz w:val="22"/>
        </w:rPr>
        <w:t>(informative)</w:t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 Framework for Identifying Dependent Failures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>25</w:t>
      </w:r>
    </w:p>
    <w:p>
      <w:pPr>
        <w:autoSpaceDN w:val="0"/>
        <w:tabs>
          <w:tab w:pos="9568" w:val="left"/>
        </w:tabs>
        <w:autoSpaceDE w:val="0"/>
        <w:widowControl/>
        <w:spacing w:line="240" w:lineRule="auto" w:before="50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iii</w:t>
      </w:r>
    </w:p>
    <w:p>
      <w:pPr>
        <w:sectPr>
          <w:pgSz w:w="11906" w:h="16838"/>
          <w:pgMar w:top="334" w:right="718" w:bottom="258" w:left="1418" w:header="720" w:footer="720" w:gutter="0"/>
          <w:cols w:space="720" w:num="1" w:equalWidth="0"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Bibliography</w:t>
      </w:r>
      <w:r>
        <w:rPr>
          <w:rFonts w:ascii="Cambria" w:hAnsi="Cambria" w:eastAsia="Cambria"/>
          <w:b w:val="0"/>
          <w:i w:val="0"/>
          <w:color w:val="808284"/>
          <w:sz w:val="18"/>
        </w:rPr>
        <w:t xml:space="preserve"> 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rFonts w:ascii="Cambria" w:hAnsi="Cambria" w:eastAsia="Cambria"/>
          <w:b/>
          <w:i w:val="0"/>
          <w:color w:val="221F1F"/>
          <w:sz w:val="22"/>
        </w:rPr>
        <w:t>29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414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iv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98" w:bottom="258" w:left="738" w:header="720" w:footer="720" w:gutter="0"/>
          <w:cols w:space="720" w:num="1" w:equalWidth="0"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69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32"/>
        </w:rPr>
        <w:t>Foreword</w:t>
      </w:r>
    </w:p>
    <w:p>
      <w:pPr>
        <w:autoSpaceDN w:val="0"/>
        <w:autoSpaceDE w:val="0"/>
        <w:widowControl/>
        <w:spacing w:line="245" w:lineRule="auto" w:before="302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(the International Organization for Standardization) is a worldwide federation of national standards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bodies (ISO member bodies). The work of preparing International Standards is normally carried out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through ISO technical committees. Each member body interested in a subject for which a technical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committee has been established has the right to be represented on that committee. International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organizations, governmental and non-governmental, in liaison with ISO, also take part in the work.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collaborates closely with the International Electrotechnical Commission (IEC) on all matters of </w:t>
      </w:r>
      <w:r>
        <w:rPr>
          <w:rFonts w:ascii="Cambria" w:hAnsi="Cambria" w:eastAsia="Cambria"/>
          <w:b w:val="0"/>
          <w:i w:val="0"/>
          <w:color w:val="221F1F"/>
          <w:sz w:val="22"/>
        </w:rPr>
        <w:t>electrotechnical standardization.</w:t>
      </w:r>
    </w:p>
    <w:p>
      <w:pPr>
        <w:autoSpaceDN w:val="0"/>
        <w:autoSpaceDE w:val="0"/>
        <w:widowControl/>
        <w:spacing w:line="245" w:lineRule="auto" w:before="170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procedures used to develop this document and those intended for its further maintenance are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described in the ISO/IEC Directives, Part 1. In particular, the different approval criteria needed for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different types of ISO documents should be noted. </w:t>
      </w:r>
      <w:r>
        <w:rPr>
          <w:rFonts w:ascii="Cambria" w:hAnsi="Cambria" w:eastAsia="Cambria"/>
          <w:b w:val="0"/>
          <w:i w:val="0"/>
          <w:color w:val="221F1F"/>
          <w:sz w:val="22"/>
        </w:rPr>
        <w:hyperlink r:id="rId11" w:history="1">
          <w:r>
            <w:rPr>
              <w:rStyle w:val="Hyperlink"/>
            </w:rPr>
            <w:t>This document was draf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ted in accordance with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editorial rules of the ISO/IEC Directives, Part 2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11" w:history="1">
          <w:r>
            <w:rPr>
              <w:rStyle w:val="Hyperlink"/>
            </w:rPr>
            <w:t>www .iso .org/directives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).</w:t>
      </w:r>
    </w:p>
    <w:p>
      <w:pPr>
        <w:autoSpaceDN w:val="0"/>
        <w:autoSpaceDE w:val="0"/>
        <w:widowControl/>
        <w:spacing w:line="245" w:lineRule="auto" w:before="170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Attention is drawn to the possibility that some of the elements of this document may be the subject of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patent rights. ISO shall not be held responsible for identifying any or all such patent rights. Details of </w:t>
      </w:r>
      <w:r>
        <w:rPr>
          <w:rFonts w:ascii="Cambria" w:hAnsi="Cambria" w:eastAsia="Cambria"/>
          <w:b w:val="0"/>
          <w:i w:val="0"/>
          <w:color w:val="221F1F"/>
          <w:sz w:val="22"/>
        </w:rPr>
        <w:t>any patent rights identified during the developme</w:t>
      </w:r>
      <w:r>
        <w:rPr>
          <w:rFonts w:ascii="Cambria" w:hAnsi="Cambria" w:eastAsia="Cambria"/>
          <w:b w:val="0"/>
          <w:i w:val="0"/>
          <w:color w:val="221F1F"/>
          <w:sz w:val="22"/>
        </w:rPr>
        <w:hyperlink r:id="rId12" w:history="1">
          <w:r>
            <w:rPr>
              <w:rStyle w:val="Hyperlink"/>
            </w:rPr>
            <w:t>nt of the document wi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ll be in the Introduction and/or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on the ISO list of patent declarations received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12" w:history="1">
          <w:r>
            <w:rPr>
              <w:rStyle w:val="Hyperlink"/>
            </w:rPr>
            <w:t>www .iso .org/patents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).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Any trade name used in this document is information given for the convenience of users and does not </w:t>
      </w:r>
      <w:r>
        <w:rPr>
          <w:rFonts w:ascii="Cambria" w:hAnsi="Cambria" w:eastAsia="Cambria"/>
          <w:b w:val="0"/>
          <w:i w:val="0"/>
          <w:color w:val="221F1F"/>
          <w:sz w:val="22"/>
        </w:rPr>
        <w:t>constitute an endorsement.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an explanation on the voluntary nature of standards, the meaning of ISO specific terms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expressions related to conformity assessment, as well as information about ISO's adherence to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>Worl</w:t>
      </w:r>
      <w:r>
        <w:rPr>
          <w:rFonts w:ascii="Cambria" w:hAnsi="Cambria" w:eastAsia="Cambria"/>
          <w:b w:val="0"/>
          <w:i w:val="0"/>
          <w:color w:val="221F1F"/>
          <w:sz w:val="22"/>
        </w:rPr>
        <w:hyperlink r:id="rId13" w:history="1">
          <w:r>
            <w:rPr>
              <w:rStyle w:val="Hyperlink"/>
            </w:rPr>
            <w:t>d Trade Organization (WTO) prin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ciples in the Technical Barriers to Trade (TBT) see the following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URL: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13" w:history="1">
          <w:r>
            <w:rPr>
              <w:rStyle w:val="Hyperlink"/>
            </w:rPr>
            <w:t>www .iso .org/iso/foreword .html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was prepared by Technical Committee ISO/TC 22, </w:t>
      </w:r>
      <w:r>
        <w:rPr>
          <w:rFonts w:ascii="Cambria" w:hAnsi="Cambria" w:eastAsia="Cambria"/>
          <w:b w:val="0"/>
          <w:i/>
          <w:color w:val="221F1F"/>
          <w:sz w:val="22"/>
        </w:rPr>
        <w:t>Road vehicles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Subcommittee SC 32, </w:t>
      </w:r>
      <w:r>
        <w:rPr>
          <w:rFonts w:ascii="Cambria" w:hAnsi="Cambria" w:eastAsia="Cambria"/>
          <w:b w:val="0"/>
          <w:i/>
          <w:color w:val="221F1F"/>
          <w:sz w:val="22"/>
        </w:rPr>
        <w:t>Electrical and electronic components and general system aspects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edition of ISO 26262 series of standards cancels and replaces the edition ISO 26262:2011 series of </w:t>
      </w:r>
      <w:r>
        <w:rPr>
          <w:rFonts w:ascii="Cambria" w:hAnsi="Cambria" w:eastAsia="Cambria"/>
          <w:b w:val="0"/>
          <w:i w:val="0"/>
          <w:color w:val="221F1F"/>
          <w:sz w:val="22"/>
        </w:rPr>
        <w:t>standards, which has been technically revised and includes the following main changes: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requirements for trucks, buses, trailers and semi-trailers;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extension of the vocabulary;</w:t>
      </w:r>
    </w:p>
    <w:p>
      <w:pPr>
        <w:autoSpaceDN w:val="0"/>
        <w:autoSpaceDE w:val="0"/>
        <w:widowControl/>
        <w:spacing w:line="238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more detailed objectives;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objective oriented confirmation measures;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management of safety anomalies;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references to cyber security;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updated target values for hardware architecture metrics;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guidance on model based development and software safety analysis;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evaluation of hardware elements;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additional guidance on dependent failure analysis;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guidance on fault tolerance, safety related special characteristics and software tools;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guidance for semiconductors;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requirements for motorcycles;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general restructuring of all parts for improved clarity.</w:t>
      </w:r>
    </w:p>
    <w:p>
      <w:pPr>
        <w:autoSpaceDN w:val="0"/>
        <w:tabs>
          <w:tab w:pos="9640" w:val="left"/>
        </w:tabs>
        <w:autoSpaceDE w:val="0"/>
        <w:widowControl/>
        <w:spacing w:line="240" w:lineRule="auto" w:before="60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v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221F1F"/>
          <w:sz w:val="22"/>
        </w:rPr>
        <w:t>Any feedback or questions on this document sho</w:t>
      </w:r>
      <w:r>
        <w:rPr>
          <w:rFonts w:ascii="Cambria" w:hAnsi="Cambria" w:eastAsia="Cambria"/>
          <w:b w:val="0"/>
          <w:i w:val="0"/>
          <w:color w:val="221F1F"/>
          <w:sz w:val="22"/>
        </w:rPr>
        <w:hyperlink r:id="rId14" w:history="1">
          <w:r>
            <w:rPr>
              <w:rStyle w:val="Hyperlink"/>
            </w:rPr>
            <w:t xml:space="preserve">uld be directed to the user’s 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national standards body. A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complete listing of these bodies can be found at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14" w:history="1">
          <w:r>
            <w:rPr>
              <w:rStyle w:val="Hyperlink"/>
            </w:rPr>
            <w:t>www .iso .org/members .html</w:t>
          </w:r>
        </w:hyperlink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 list of all parts in the ISO 26262 series can be found on the ISO website.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34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vi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698" w:after="0"/>
        <w:ind w:left="6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32"/>
        </w:rPr>
        <w:t>Introduction</w:t>
      </w:r>
    </w:p>
    <w:p>
      <w:pPr>
        <w:autoSpaceDN w:val="0"/>
        <w:autoSpaceDE w:val="0"/>
        <w:widowControl/>
        <w:spacing w:line="245" w:lineRule="auto" w:before="302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ISO 26262 series of standards is the adaptation of IEC 61508 series of standards to address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>sector specific needs of electrical and/or electronic (E/E) systems within road vehicles.</w:t>
      </w:r>
    </w:p>
    <w:p>
      <w:pPr>
        <w:autoSpaceDN w:val="0"/>
        <w:autoSpaceDE w:val="0"/>
        <w:widowControl/>
        <w:spacing w:line="245" w:lineRule="auto" w:before="170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adaptation applies to all activities during the safety lifecycle of safety-related systems comprised </w:t>
      </w:r>
      <w:r>
        <w:rPr>
          <w:rFonts w:ascii="Cambria" w:hAnsi="Cambria" w:eastAsia="Cambria"/>
          <w:b w:val="0"/>
          <w:i w:val="0"/>
          <w:color w:val="221F1F"/>
          <w:sz w:val="22"/>
        </w:rPr>
        <w:t>of electrical, electronic and software components.</w:t>
      </w:r>
    </w:p>
    <w:p>
      <w:pPr>
        <w:autoSpaceDN w:val="0"/>
        <w:autoSpaceDE w:val="0"/>
        <w:widowControl/>
        <w:spacing w:line="245" w:lineRule="auto" w:before="170" w:after="0"/>
        <w:ind w:left="6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Safety is one of the key issues in the development of road vehicles. Development and integration of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automotive functionalities strengthen the need for functional safety and the need to provide evidence </w:t>
      </w:r>
      <w:r>
        <w:rPr>
          <w:rFonts w:ascii="Cambria" w:hAnsi="Cambria" w:eastAsia="Cambria"/>
          <w:b w:val="0"/>
          <w:i w:val="0"/>
          <w:color w:val="221F1F"/>
          <w:sz w:val="22"/>
        </w:rPr>
        <w:t>that functional safety objectives are satisfied.</w:t>
      </w:r>
    </w:p>
    <w:p>
      <w:pPr>
        <w:autoSpaceDN w:val="0"/>
        <w:autoSpaceDE w:val="0"/>
        <w:widowControl/>
        <w:spacing w:line="245" w:lineRule="auto" w:before="168" w:after="0"/>
        <w:ind w:left="6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With the trend of increasing technological complexity, software content and mechatronic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implementation, there are increasing risks from systematic failures and random hardware failures,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these being considered within the scope of functional safety. ISO 26262 series of standards includes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guidance to mitigate these risks by providing appropriate requirements and processes. </w:t>
      </w:r>
    </w:p>
    <w:p>
      <w:pPr>
        <w:autoSpaceDN w:val="0"/>
        <w:autoSpaceDE w:val="0"/>
        <w:widowControl/>
        <w:spacing w:line="240" w:lineRule="auto" w:before="168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To achieve functional safety, the ISO 26262 series of standards:</w:t>
      </w:r>
    </w:p>
    <w:p>
      <w:pPr>
        <w:autoSpaceDN w:val="0"/>
        <w:autoSpaceDE w:val="0"/>
        <w:widowControl/>
        <w:spacing w:line="245" w:lineRule="auto" w:before="168" w:after="0"/>
        <w:ind w:left="408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provides a reference for the automotive safety lifecycle and supports the tailoring of the activities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to be performed during the lifecycle phases, i.e., development, production, operation, service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decommissioning;</w:t>
      </w:r>
    </w:p>
    <w:p>
      <w:pPr>
        <w:autoSpaceDN w:val="0"/>
        <w:tabs>
          <w:tab w:pos="408" w:val="left"/>
        </w:tabs>
        <w:autoSpaceDE w:val="0"/>
        <w:widowControl/>
        <w:spacing w:line="245" w:lineRule="auto" w:before="168" w:after="108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provides an automotive-specific risk-based approach to determine integrity levels [Automotive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Safety Integrity Levels (ASILs)];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1.999999999999886" w:type="dxa"/>
      </w:tblPr>
      <w:tblGrid>
        <w:gridCol w:w="4913"/>
        <w:gridCol w:w="4913"/>
      </w:tblGrid>
      <w:tr>
        <w:trPr>
          <w:trHeight w:hRule="exact" w:val="6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c) </w:t>
            </w:r>
          </w:p>
        </w:tc>
        <w:tc>
          <w:tcPr>
            <w:tcW w:type="dxa" w:w="9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0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uses ASILs to specify which of the requirements of ISO 26262 are applicable to avoid unreasonable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residual risk;</w:t>
            </w:r>
          </w:p>
        </w:tc>
      </w:tr>
    </w:tbl>
    <w:p>
      <w:pPr>
        <w:autoSpaceDN w:val="0"/>
        <w:tabs>
          <w:tab w:pos="408" w:val="left"/>
        </w:tabs>
        <w:autoSpaceDE w:val="0"/>
        <w:widowControl/>
        <w:spacing w:line="245" w:lineRule="auto" w:before="108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d) provides requirements for functional safety management, design, implementation, verification,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validation and confirmation measures; and</w:t>
      </w:r>
    </w:p>
    <w:p>
      <w:pPr>
        <w:autoSpaceDN w:val="0"/>
        <w:autoSpaceDE w:val="0"/>
        <w:widowControl/>
        <w:spacing w:line="240" w:lineRule="auto" w:before="170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e) provides requirements for relations between customers and suppliers.</w:t>
      </w:r>
    </w:p>
    <w:p>
      <w:pPr>
        <w:autoSpaceDN w:val="0"/>
        <w:autoSpaceDE w:val="0"/>
        <w:widowControl/>
        <w:spacing w:line="245" w:lineRule="auto" w:before="168" w:after="0"/>
        <w:ind w:left="6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ISO 26262 series of standards is concerned with functional safety of E/E systems that is achieved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through safety measures including safety mechanisms. It also provides a framework within which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safety-related systems based on other technologies (e.g. mechanical, hydraulic and pneumatic) can be </w:t>
      </w:r>
      <w:r>
        <w:rPr>
          <w:rFonts w:ascii="Cambria" w:hAnsi="Cambria" w:eastAsia="Cambria"/>
          <w:b w:val="0"/>
          <w:i w:val="0"/>
          <w:color w:val="221F1F"/>
          <w:sz w:val="22"/>
        </w:rPr>
        <w:t>considered.</w:t>
      </w:r>
    </w:p>
    <w:p>
      <w:pPr>
        <w:autoSpaceDN w:val="0"/>
        <w:autoSpaceDE w:val="0"/>
        <w:widowControl/>
        <w:spacing w:line="245" w:lineRule="auto" w:before="168" w:after="0"/>
        <w:ind w:left="6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achievement of functional safety is influenced by the development process (including such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activities as requirements specification, design, implementation, integration, verification, validation </w:t>
      </w:r>
      <w:r>
        <w:rPr>
          <w:rFonts w:ascii="Cambria" w:hAnsi="Cambria" w:eastAsia="Cambria"/>
          <w:b w:val="0"/>
          <w:i w:val="0"/>
          <w:color w:val="221F1F"/>
          <w:sz w:val="22"/>
        </w:rPr>
        <w:t>and configuration), the production and service processes and the management processes.</w:t>
      </w:r>
    </w:p>
    <w:p>
      <w:pPr>
        <w:autoSpaceDN w:val="0"/>
        <w:autoSpaceDE w:val="0"/>
        <w:widowControl/>
        <w:spacing w:line="245" w:lineRule="auto" w:before="168" w:after="0"/>
        <w:ind w:left="6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Safety is intertwined with common function-oriented and quality-oriented activities and work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products. The ISO 26262 series of standards addresses the safety-related aspects of these activities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work products.</w:t>
      </w:r>
    </w:p>
    <w:p>
      <w:pPr>
        <w:autoSpaceDN w:val="0"/>
        <w:autoSpaceDE w:val="0"/>
        <w:widowControl/>
        <w:spacing w:line="245" w:lineRule="auto" w:before="168" w:after="0"/>
        <w:ind w:left="6" w:right="22" w:firstLine="0"/>
        <w:jc w:val="both"/>
      </w:pP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Figure 1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shows the overall structure of the ISO 26262 series of standards. The ISO 26262 series of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standards is based upon a V-model as a reference process model for the different phases of product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development. Within the figure: </w:t>
      </w:r>
    </w:p>
    <w:p>
      <w:pPr>
        <w:autoSpaceDN w:val="0"/>
        <w:tabs>
          <w:tab w:pos="408" w:val="left"/>
        </w:tabs>
        <w:autoSpaceDE w:val="0"/>
        <w:widowControl/>
        <w:spacing w:line="245" w:lineRule="auto" w:before="168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shaded “V”s represent the interconnection among ISO 26262-3, ISO 26262-4, ISO 26262-5,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26262-6 and ISO 26262-7;</w:t>
      </w:r>
    </w:p>
    <w:p>
      <w:pPr>
        <w:autoSpaceDN w:val="0"/>
        <w:autoSpaceDE w:val="0"/>
        <w:widowControl/>
        <w:spacing w:line="240" w:lineRule="auto" w:before="168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for motorcycles:</w:t>
      </w:r>
    </w:p>
    <w:p>
      <w:pPr>
        <w:autoSpaceDN w:val="0"/>
        <w:autoSpaceDE w:val="0"/>
        <w:widowControl/>
        <w:spacing w:line="240" w:lineRule="auto" w:before="168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ISO 26262-12:2018, Clause 8 supports ISO 26262-3;</w:t>
      </w:r>
    </w:p>
    <w:p>
      <w:pPr>
        <w:autoSpaceDN w:val="0"/>
        <w:autoSpaceDE w:val="0"/>
        <w:widowControl/>
        <w:spacing w:line="240" w:lineRule="auto" w:before="170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ISO 26262-12:2018, Clauses 9 and 10 support ISO 26262-4; </w:t>
      </w:r>
    </w:p>
    <w:p>
      <w:pPr>
        <w:autoSpaceDN w:val="0"/>
        <w:tabs>
          <w:tab w:pos="408" w:val="left"/>
        </w:tabs>
        <w:autoSpaceDE w:val="0"/>
        <w:widowControl/>
        <w:spacing w:line="245" w:lineRule="auto" w:before="168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specific clauses are indicated in the following manner: “m-n”, where “m” represents the number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of the particular part and “n” indicates the number of the clause within that part.</w:t>
      </w:r>
    </w:p>
    <w:p>
      <w:pPr>
        <w:autoSpaceDN w:val="0"/>
        <w:tabs>
          <w:tab w:pos="9524" w:val="left"/>
        </w:tabs>
        <w:autoSpaceDE w:val="0"/>
        <w:widowControl/>
        <w:spacing w:line="240" w:lineRule="auto" w:before="242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vii</w:t>
      </w:r>
    </w:p>
    <w:p>
      <w:pPr>
        <w:sectPr>
          <w:pgSz w:w="11906" w:h="16838"/>
          <w:pgMar w:top="334" w:right="668" w:bottom="258" w:left="1412" w:header="720" w:footer="720" w:gutter="0"/>
          <w:cols w:space="720" w:num="1" w:equalWidth="0"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1338" w:val="left"/>
        </w:tabs>
        <w:autoSpaceDE w:val="0"/>
        <w:widowControl/>
        <w:spacing w:line="240" w:lineRule="auto" w:before="71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“2-6” represents ISO 26262-2:2018, Clause 6.</w:t>
      </w:r>
    </w:p>
    <w:p>
      <w:pPr>
        <w:autoSpaceDN w:val="0"/>
        <w:autoSpaceDE w:val="0"/>
        <w:widowControl/>
        <w:spacing w:line="240" w:lineRule="auto" w:before="1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57900" cy="165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57900" cy="3848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4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5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57900" cy="584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84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2.0" w:type="dxa"/>
      </w:tblPr>
      <w:tblGrid>
        <w:gridCol w:w="1086"/>
        <w:gridCol w:w="1086"/>
        <w:gridCol w:w="1086"/>
        <w:gridCol w:w="1086"/>
        <w:gridCol w:w="1086"/>
        <w:gridCol w:w="1086"/>
        <w:gridCol w:w="1086"/>
        <w:gridCol w:w="1086"/>
        <w:gridCol w:w="1086"/>
      </w:tblGrid>
      <w:tr>
        <w:trPr>
          <w:trHeight w:hRule="exact" w:val="27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76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69900" cy="762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50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0" cy="101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76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92100" cy="76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635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200" cy="762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88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Figure 1 — Overview of the ISO 26262 series of standards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581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viii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98" w:bottom="258" w:left="738" w:header="720" w:footer="720" w:gutter="0"/>
          <w:cols w:space="720" w:num="1" w:equalWidth="0"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20"/>
        <w:gridCol w:w="4920"/>
      </w:tblGrid>
      <w:tr>
        <w:trPr>
          <w:trHeight w:hRule="exact" w:val="522"/>
        </w:trPr>
        <w:tc>
          <w:tcPr>
            <w:tcW w:type="dxa" w:w="5302"/>
            <w:tcBorders>
              <w:top w:sz="16.0" w:val="single" w:color="#221F1F"/>
              <w:bottom w:sz="16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2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4"/>
              </w:rPr>
              <w:t xml:space="preserve">INTERNATIONAL STANDARD </w:t>
            </w:r>
          </w:p>
        </w:tc>
        <w:tc>
          <w:tcPr>
            <w:tcW w:type="dxa" w:w="4488"/>
            <w:tcBorders>
              <w:top w:sz="16.0" w:val="single" w:color="#221F1F"/>
              <w:bottom w:sz="16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20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24"/>
              </w:rPr>
              <w:t>ISO 26262-9:2018(E)</w:t>
            </w:r>
          </w:p>
        </w:tc>
      </w:tr>
    </w:tbl>
    <w:p>
      <w:pPr>
        <w:autoSpaceDN w:val="0"/>
        <w:autoSpaceDE w:val="0"/>
        <w:widowControl/>
        <w:spacing w:line="240" w:lineRule="auto" w:before="1006" w:after="0"/>
        <w:ind w:left="2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36"/>
        </w:rPr>
        <w:t>Road vehicles — Functional safety —</w:t>
      </w:r>
    </w:p>
    <w:p>
      <w:pPr>
        <w:autoSpaceDN w:val="0"/>
        <w:autoSpaceDE w:val="0"/>
        <w:widowControl/>
        <w:spacing w:line="245" w:lineRule="auto" w:before="242" w:after="0"/>
        <w:ind w:left="20" w:right="1008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36"/>
        </w:rPr>
        <w:t xml:space="preserve">Part 9: </w:t>
      </w:r>
      <w:r>
        <w:br/>
      </w:r>
      <w:r>
        <w:rPr>
          <w:rFonts w:ascii="Cambria" w:hAnsi="Cambria" w:eastAsia="Cambria"/>
          <w:b/>
          <w:i w:val="0"/>
          <w:color w:val="221F1F"/>
          <w:sz w:val="36"/>
        </w:rPr>
        <w:t xml:space="preserve">Automotive safety integrity level (ASIL)-oriented and </w:t>
      </w:r>
      <w:r>
        <w:rPr>
          <w:rFonts w:ascii="Cambria" w:hAnsi="Cambria" w:eastAsia="Cambria"/>
          <w:b/>
          <w:i w:val="0"/>
          <w:color w:val="221F1F"/>
          <w:sz w:val="36"/>
        </w:rPr>
        <w:t>safety-oriented analyses</w:t>
      </w:r>
    </w:p>
    <w:p>
      <w:pPr>
        <w:autoSpaceDN w:val="0"/>
        <w:autoSpaceDE w:val="0"/>
        <w:widowControl/>
        <w:spacing w:line="240" w:lineRule="auto" w:before="440" w:after="0"/>
        <w:ind w:left="2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1 Scope</w:t>
      </w:r>
    </w:p>
    <w:p>
      <w:pPr>
        <w:autoSpaceDN w:val="0"/>
        <w:autoSpaceDE w:val="0"/>
        <w:widowControl/>
        <w:spacing w:line="245" w:lineRule="auto" w:before="174" w:after="0"/>
        <w:ind w:left="2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is intended to be applied to safety-related systems that include one or more electrical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and/or electronic (E/E) systems and that are installed in series production road vehicles, excluding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mopeds. This document does not address unique E/E systems in special vehicles such as E/E systems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designed for drivers with disabilities. </w:t>
      </w:r>
    </w:p>
    <w:p>
      <w:pPr>
        <w:autoSpaceDN w:val="0"/>
        <w:tabs>
          <w:tab w:pos="984" w:val="left"/>
        </w:tabs>
        <w:autoSpaceDE w:val="0"/>
        <w:widowControl/>
        <w:spacing w:line="245" w:lineRule="auto" w:before="182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Other dedicated application-specific safety standards exist and can complement the ISO 26262 series </w:t>
      </w:r>
      <w:r>
        <w:rPr>
          <w:rFonts w:ascii="Cambria" w:hAnsi="Cambria" w:eastAsia="Cambria"/>
          <w:b w:val="0"/>
          <w:i w:val="0"/>
          <w:color w:val="221F1F"/>
          <w:sz w:val="20"/>
        </w:rPr>
        <w:t>of standards or vice versa.</w:t>
      </w:r>
    </w:p>
    <w:p>
      <w:pPr>
        <w:autoSpaceDN w:val="0"/>
        <w:autoSpaceDE w:val="0"/>
        <w:widowControl/>
        <w:spacing w:line="245" w:lineRule="auto" w:before="172" w:after="0"/>
        <w:ind w:left="2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Systems and their components released for production, or systems and their components already under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 prior to the publication date of this document, are exempted from the scope of this edition.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addresses alterations to existing systems and their components released for production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prior to the publication of this document by tailoring the safety lifecycle depending on the alteration.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addresses integration of existing systems not developed according to this document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systems developed according to this document by tailoring the safety lifecycle.</w:t>
      </w:r>
    </w:p>
    <w:p>
      <w:pPr>
        <w:autoSpaceDN w:val="0"/>
        <w:autoSpaceDE w:val="0"/>
        <w:widowControl/>
        <w:spacing w:line="245" w:lineRule="auto" w:before="170" w:after="0"/>
        <w:ind w:left="2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addresses possible hazards caused by malfunctioning behaviour of safety-related E/E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systems, including interaction of these systems. It does not address hazards related to electric shock,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fire, smoke, heat, radiation, toxicity, flammability, reactivity, corrosion, release of energy and similar </w:t>
      </w:r>
      <w:r>
        <w:rPr>
          <w:rFonts w:ascii="Cambria" w:hAnsi="Cambria" w:eastAsia="Cambria"/>
          <w:b w:val="0"/>
          <w:i w:val="0"/>
          <w:color w:val="221F1F"/>
          <w:sz w:val="22"/>
        </w:rPr>
        <w:t>hazards, unless directly caused by malfunctioning behaviour of safety-related E/E systems.</w:t>
      </w:r>
    </w:p>
    <w:p>
      <w:pPr>
        <w:autoSpaceDN w:val="0"/>
        <w:autoSpaceDE w:val="0"/>
        <w:widowControl/>
        <w:spacing w:line="245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This document describes a framework for functional safety to assist the development of safety-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related E/E systems. This framework is intended to be used to integrate functional safety activities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into a company-specific development framework. Some requirements have a clear technical focus to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implement functional safety into a product; others address the development process and can therefore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be seen as process requirements in order to demonstrate the capability of an organization with respect </w:t>
      </w:r>
      <w:r>
        <w:rPr>
          <w:rFonts w:ascii="Cambria" w:hAnsi="Cambria" w:eastAsia="Cambria"/>
          <w:b w:val="0"/>
          <w:i w:val="0"/>
          <w:color w:val="221F1F"/>
          <w:sz w:val="22"/>
        </w:rPr>
        <w:t>to functional safety.</w:t>
      </w:r>
    </w:p>
    <w:p>
      <w:pPr>
        <w:autoSpaceDN w:val="0"/>
        <w:autoSpaceDE w:val="0"/>
        <w:widowControl/>
        <w:spacing w:line="240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This document does not address the nominal performance of E/E systems.</w:t>
      </w:r>
    </w:p>
    <w:p>
      <w:pPr>
        <w:autoSpaceDN w:val="0"/>
        <w:autoSpaceDE w:val="0"/>
        <w:widowControl/>
        <w:spacing w:line="245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document specifies the requirements for Automotive Safety Integrity Level (ASIL)-oriented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safety-oriented analyses, including the following:</w:t>
      </w:r>
    </w:p>
    <w:p>
      <w:pPr>
        <w:autoSpaceDN w:val="0"/>
        <w:autoSpaceDE w:val="0"/>
        <w:widowControl/>
        <w:spacing w:line="240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requirements decomposition with respect to ASIL tailoring;</w:t>
      </w:r>
    </w:p>
    <w:p>
      <w:pPr>
        <w:autoSpaceDN w:val="0"/>
        <w:autoSpaceDE w:val="0"/>
        <w:widowControl/>
        <w:spacing w:line="240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criteria for coexistence of elements;</w:t>
      </w:r>
    </w:p>
    <w:p>
      <w:pPr>
        <w:autoSpaceDN w:val="0"/>
        <w:autoSpaceDE w:val="0"/>
        <w:widowControl/>
        <w:spacing w:line="240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analysis of dependent failures; and</w:t>
      </w:r>
    </w:p>
    <w:p>
      <w:pPr>
        <w:autoSpaceDN w:val="0"/>
        <w:autoSpaceDE w:val="0"/>
        <w:widowControl/>
        <w:spacing w:line="240" w:lineRule="auto" w:before="168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safety analyses.</w:t>
      </w:r>
    </w:p>
    <w:p>
      <w:pPr>
        <w:autoSpaceDN w:val="0"/>
        <w:autoSpaceDE w:val="0"/>
        <w:widowControl/>
        <w:spacing w:line="240" w:lineRule="auto" w:before="170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Annex A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provides an overview on objectives, prerequisites and work products of this document. </w:t>
      </w:r>
    </w:p>
    <w:p>
      <w:pPr>
        <w:autoSpaceDN w:val="0"/>
        <w:tabs>
          <w:tab w:pos="9640" w:val="left"/>
        </w:tabs>
        <w:autoSpaceDE w:val="0"/>
        <w:widowControl/>
        <w:spacing w:line="240" w:lineRule="auto" w:before="1744" w:after="0"/>
        <w:ind w:left="2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</w:t>
      </w:r>
    </w:p>
    <w:p>
      <w:pPr>
        <w:sectPr>
          <w:pgSz w:w="11906" w:h="16838"/>
          <w:pgMar w:top="354" w:right="668" w:bottom="258" w:left="1398" w:header="720" w:footer="720" w:gutter="0"/>
          <w:cols w:space="720" w:num="1" w:equalWidth="0"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71" w:lineRule="auto" w:before="70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 xml:space="preserve">2 Normative references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following documents are referred to in the text in such a way that some or all of their content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constitutes requirements of this document. For dated references, only the edition cited applies. For </w:t>
      </w:r>
      <w:r>
        <w:rPr>
          <w:rFonts w:ascii="Cambria" w:hAnsi="Cambria" w:eastAsia="Cambria"/>
          <w:b w:val="0"/>
          <w:i w:val="0"/>
          <w:color w:val="221F1F"/>
          <w:sz w:val="22"/>
        </w:rPr>
        <w:t>undated references, the latest edition of the referenced document (including any amendments) applies.</w:t>
      </w:r>
    </w:p>
    <w:p>
      <w:pPr>
        <w:autoSpaceDN w:val="0"/>
        <w:autoSpaceDE w:val="0"/>
        <w:widowControl/>
        <w:spacing w:line="36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26262-1:2018,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1: Vocabulary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26262-2:2018,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2: Management of Functional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26262-3:2018,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3: Concept phase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26262-4:2018,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4: Product development at the system level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26262-5:2018,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5: Product development at the hardware level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26262-6:2018,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6: Product development at the software level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26262-7:2018,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Road vehicles — Functional safety — Part 7: Production, operation, service and </w:t>
      </w:r>
      <w:r>
        <w:rPr>
          <w:rFonts w:ascii="Cambria" w:hAnsi="Cambria" w:eastAsia="Cambria"/>
          <w:b w:val="0"/>
          <w:i/>
          <w:color w:val="221F1F"/>
          <w:sz w:val="22"/>
        </w:rPr>
        <w:t xml:space="preserve">decommissioning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26262-8:2018, </w:t>
      </w:r>
      <w:r>
        <w:rPr>
          <w:rFonts w:ascii="Cambria" w:hAnsi="Cambria" w:eastAsia="Cambria"/>
          <w:b w:val="0"/>
          <w:i/>
          <w:color w:val="221F1F"/>
          <w:sz w:val="22"/>
        </w:rPr>
        <w:t>Road vehicles — Functional safety — Part 8: Supporting processes</w:t>
      </w:r>
    </w:p>
    <w:p>
      <w:pPr>
        <w:autoSpaceDN w:val="0"/>
        <w:autoSpaceDE w:val="0"/>
        <w:widowControl/>
        <w:spacing w:line="286" w:lineRule="auto" w:before="37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 xml:space="preserve">3 Terms and definitions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the purposes of this document, the terms, definitions and abbreviated terms given in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26262-1:2018 apply.</w:t>
      </w:r>
    </w:p>
    <w:p>
      <w:pPr>
        <w:autoSpaceDN w:val="0"/>
        <w:autoSpaceDE w:val="0"/>
        <w:widowControl/>
        <w:spacing w:line="343" w:lineRule="auto" w:before="168" w:after="0"/>
        <w:ind w:left="0" w:right="144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ISO and IEC maintain terminological databases for use in standardization at the following addresses: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IEC Electropedia: available at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27" w:history="1">
          <w:r>
            <w:rPr>
              <w:rStyle w:val="Hyperlink"/>
            </w:rPr>
            <w:t>http: //www .electropedia .org/</w:t>
          </w:r>
        </w:hyperlink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ISO Online browsing platform: available at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hyperlink r:id="rId28" w:history="1">
          <w:r>
            <w:rPr>
              <w:rStyle w:val="Hyperlink"/>
            </w:rPr>
            <w:t>https: //www .iso .org/obp</w:t>
          </w:r>
        </w:hyperlink>
      </w:r>
    </w:p>
    <w:p>
      <w:pPr>
        <w:autoSpaceDN w:val="0"/>
        <w:autoSpaceDE w:val="0"/>
        <w:widowControl/>
        <w:spacing w:line="240" w:lineRule="auto" w:before="37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4 Requirements for compliance</w:t>
      </w:r>
    </w:p>
    <w:p>
      <w:pPr>
        <w:autoSpaceDN w:val="0"/>
        <w:tabs>
          <w:tab w:pos="402" w:val="left"/>
        </w:tabs>
        <w:autoSpaceDE w:val="0"/>
        <w:widowControl/>
        <w:spacing w:line="365" w:lineRule="auto" w:before="290" w:after="0"/>
        <w:ind w:left="0" w:right="2016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 xml:space="preserve">4.1 Purpose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clause describes how: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to achieve compliance with the ISO 26262 series of standards;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to interpret the tables used in the ISO 26262 series of standards; and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to interpret the applicability of each clause, depending on the relevant ASIL(s).</w:t>
      </w:r>
    </w:p>
    <w:p>
      <w:pPr>
        <w:autoSpaceDN w:val="0"/>
        <w:tabs>
          <w:tab w:pos="402" w:val="left"/>
        </w:tabs>
        <w:autoSpaceDE w:val="0"/>
        <w:widowControl/>
        <w:spacing w:line="302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 xml:space="preserve">4.2 General requirements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When claiming compliance with the ISO 26262 series of standards, each requirement shall be met,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unless one of the following applies: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tailoring of the safety activities in accordance with ISO 26262-2 has been performed that shows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that the requirement does not apply; or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a rationale is available that the non-compliance is acceptable and the rationale has been evaluated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in accordance with ISO 26262-2.</w:t>
      </w:r>
    </w:p>
    <w:p>
      <w:pPr>
        <w:autoSpaceDN w:val="0"/>
        <w:autoSpaceDE w:val="0"/>
        <w:widowControl/>
        <w:spacing w:line="245" w:lineRule="auto" w:before="168" w:after="0"/>
        <w:ind w:left="0" w:right="22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Informative content, including notes and examples, is only for guidance in understanding, or for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clarification of the associated requirement, and shall not be interpreted as a requirement itself or as </w:t>
      </w:r>
      <w:r>
        <w:rPr>
          <w:rFonts w:ascii="Cambria" w:hAnsi="Cambria" w:eastAsia="Cambria"/>
          <w:b w:val="0"/>
          <w:i w:val="0"/>
          <w:color w:val="221F1F"/>
          <w:sz w:val="22"/>
        </w:rPr>
        <w:t>complete or exhaustive.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45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48" w:bottom="258" w:left="738" w:header="720" w:footer="720" w:gutter="0"/>
          <w:cols w:space="720" w:num="1" w:equalWidth="0"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714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results of safety activities are given as work products. “Prerequisites” are information which shall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be available as work products of a previous phase. Given that certain requirements of a clause are </w:t>
      </w:r>
      <w:r>
        <w:rPr>
          <w:rFonts w:ascii="Cambria" w:hAnsi="Cambria" w:eastAsia="Cambria"/>
          <w:b w:val="0"/>
          <w:i w:val="0"/>
          <w:color w:val="221F1F"/>
          <w:sz w:val="22"/>
        </w:rPr>
        <w:t>ASIL-dependent or may be tailored, certain work products may not be needed as prerequisites.</w:t>
      </w:r>
    </w:p>
    <w:p>
      <w:pPr>
        <w:autoSpaceDN w:val="0"/>
        <w:autoSpaceDE w:val="0"/>
        <w:widowControl/>
        <w:spacing w:line="245" w:lineRule="auto" w:before="170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“Further supporting information” is information that can be considered, but which in some cases is not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required by the ISO 26262 series of standards as a work product of a previous phase and which may be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made available by external sources that are different from the persons or organizations responsible for </w:t>
      </w:r>
      <w:r>
        <w:rPr>
          <w:rFonts w:ascii="Cambria" w:hAnsi="Cambria" w:eastAsia="Cambria"/>
          <w:b w:val="0"/>
          <w:i w:val="0"/>
          <w:color w:val="221F1F"/>
          <w:sz w:val="22"/>
        </w:rPr>
        <w:t>the functional safety activities.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4.3 Interpretations of tables</w:t>
      </w:r>
    </w:p>
    <w:p>
      <w:pPr>
        <w:autoSpaceDN w:val="0"/>
        <w:autoSpaceDE w:val="0"/>
        <w:widowControl/>
        <w:spacing w:line="245" w:lineRule="auto" w:before="17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Tables are normative or informative depending on their context. The different methods listed in a table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contribute to the level of confidence in achieving compliance with the corresponding requirement. Each </w:t>
      </w:r>
      <w:r>
        <w:rPr>
          <w:rFonts w:ascii="Cambria" w:hAnsi="Cambria" w:eastAsia="Cambria"/>
          <w:b w:val="0"/>
          <w:i w:val="0"/>
          <w:color w:val="221F1F"/>
          <w:sz w:val="22"/>
        </w:rPr>
        <w:t>method in a table is either: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a consecutive entry (marked by a sequence number in the leftmost column, e.g. 1, 2, 3), or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221F1F"/>
          <w:sz w:val="22"/>
        </w:rPr>
        <w:t>b) an alternative entry (marked by a number followed by a letter in the leftmost column, e.g. 2a, 2b, 2c).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consecutive entries, all listed highly recommended and recommended methods in accordance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ASIL apply. It is allowed to substitute a highly recommended or recommended method by others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not listed in the table, in this case, a rationale shall be given describing why these comply with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corresponding requirement. If a rationale can be given to comply with the corresponding requirement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without choosing all entries, a further rationale for omitted methods is not necessary. 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alternative entries, an appropriate combination of methods shall be applied in accordance with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indicated, independent of whether they are listed in the table or not. If methods are listed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different degrees of recommendation for an ASIL, the methods with the higher recommendation should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be preferred. A rationale shall be given that the selected combination of methods or even a selected </w:t>
      </w:r>
      <w:r>
        <w:rPr>
          <w:rFonts w:ascii="Cambria" w:hAnsi="Cambria" w:eastAsia="Cambria"/>
          <w:b w:val="0"/>
          <w:i w:val="0"/>
          <w:color w:val="221F1F"/>
          <w:sz w:val="22"/>
        </w:rPr>
        <w:t>single method complies with the corresponding requirement.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 rationale based on the methods listed in the table is sufficient. However, this does not imply a bias </w:t>
      </w:r>
      <w:r>
        <w:rPr>
          <w:rFonts w:ascii="Cambria" w:hAnsi="Cambria" w:eastAsia="Cambria"/>
          <w:b w:val="0"/>
          <w:i w:val="0"/>
          <w:color w:val="221F1F"/>
          <w:sz w:val="20"/>
        </w:rPr>
        <w:t>for or against methods not listed in the table.</w:t>
      </w:r>
    </w:p>
    <w:p>
      <w:pPr>
        <w:autoSpaceDN w:val="0"/>
        <w:autoSpaceDE w:val="0"/>
        <w:widowControl/>
        <w:spacing w:line="245" w:lineRule="auto" w:before="17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each method, the degree of recommendation to use the corresponding method depends on the ASIL </w:t>
      </w:r>
      <w:r>
        <w:rPr>
          <w:rFonts w:ascii="Cambria" w:hAnsi="Cambria" w:eastAsia="Cambria"/>
          <w:b w:val="0"/>
          <w:i w:val="0"/>
          <w:color w:val="221F1F"/>
          <w:sz w:val="22"/>
        </w:rPr>
        <w:t>and is categorized as follows: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“++” indicates that the method is highly recommended for the identified ASIL;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“+” indicates that the method is recommended for the identified ASIL;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221F1F"/>
          <w:sz w:val="22"/>
        </w:rPr>
        <w:t>— “o” indicates that the method has no recommendation for or against its usage for the identified ASIL.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4.4 ASIL-dependent requirements and recommendations</w:t>
      </w:r>
    </w:p>
    <w:p>
      <w:pPr>
        <w:autoSpaceDN w:val="0"/>
        <w:autoSpaceDE w:val="0"/>
        <w:widowControl/>
        <w:spacing w:line="245" w:lineRule="auto" w:before="17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requirements or recommendations of each sub-clause shall be met for ASIL A, B, C and D, if not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stated otherwise. These requirements and recommendations refer to the ASIL of the safety goal. If ASIL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decomposition has been performed at an earlier stage of development, in accordance with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5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resulting from the decomposition shall be met. 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an ASIL is given in parentheses in the ISO 26262 series of standards, the corresponding sub-clause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shall be considered as a recommendation rather than a requirement for this ASIL. This has no link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>the parenthesis notation related to ASIL decomposition.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4.5 Adaptation for motorcycles</w:t>
      </w:r>
    </w:p>
    <w:p>
      <w:pPr>
        <w:autoSpaceDN w:val="0"/>
        <w:autoSpaceDE w:val="0"/>
        <w:widowControl/>
        <w:spacing w:line="245" w:lineRule="auto" w:before="17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For items or elements of motorcycles for which requirements of ISO 26262-12 are applicable,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requirements of ISO 26262-12 supersede the corresponding requirements in this document. </w:t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 of ISO 26262-2 that are superseded by ISO 26262-12 are defined in Part 12.</w:t>
      </w:r>
    </w:p>
    <w:p>
      <w:pPr>
        <w:autoSpaceDN w:val="0"/>
        <w:tabs>
          <w:tab w:pos="9620" w:val="left"/>
        </w:tabs>
        <w:autoSpaceDE w:val="0"/>
        <w:widowControl/>
        <w:spacing w:line="240" w:lineRule="auto" w:before="66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3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4.6 Adaptation for trucks, buses, trailers and semi-trailers</w:t>
      </w:r>
    </w:p>
    <w:p>
      <w:pPr>
        <w:autoSpaceDN w:val="0"/>
        <w:autoSpaceDE w:val="0"/>
        <w:widowControl/>
        <w:spacing w:line="245" w:lineRule="auto" w:before="17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Content that is intended to be unique for trucks, buses, trailers and semi-trailers (T&amp;B) is indicated </w:t>
      </w:r>
      <w:r>
        <w:rPr>
          <w:rFonts w:ascii="Cambria" w:hAnsi="Cambria" w:eastAsia="Cambria"/>
          <w:b w:val="0"/>
          <w:i w:val="0"/>
          <w:color w:val="221F1F"/>
          <w:sz w:val="22"/>
        </w:rPr>
        <w:t>as such.</w:t>
      </w:r>
    </w:p>
    <w:p>
      <w:pPr>
        <w:autoSpaceDN w:val="0"/>
        <w:autoSpaceDE w:val="0"/>
        <w:widowControl/>
        <w:spacing w:line="240" w:lineRule="auto" w:before="37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5 Requirements decomposition with respect to ASIL tailoring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5.1 Objectives</w:t>
      </w:r>
    </w:p>
    <w:p>
      <w:pPr>
        <w:autoSpaceDN w:val="0"/>
        <w:autoSpaceDE w:val="0"/>
        <w:widowControl/>
        <w:spacing w:line="240" w:lineRule="auto" w:before="17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If ASIL decomposition is applied, the objectives of this clause are: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to ensure that a safety requirement is decomposed into redundant safety requirements at the next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level of detail, and that these are allocated to sufficiently independent design elements;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b) to apply ASIL decomposition according to permitted ASIL decomposition schemas.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independence mentioned in this clause is technical independence and not organizational </w:t>
      </w:r>
      <w:r>
        <w:rPr>
          <w:rFonts w:ascii="Cambria" w:hAnsi="Cambria" w:eastAsia="Cambria"/>
          <w:b w:val="0"/>
          <w:i w:val="0"/>
          <w:color w:val="221F1F"/>
          <w:sz w:val="20"/>
        </w:rPr>
        <w:t>independence (see ISO 26262-1:2018, 3.78)</w:t>
      </w:r>
    </w:p>
    <w:p>
      <w:pPr>
        <w:autoSpaceDN w:val="0"/>
        <w:autoSpaceDE w:val="0"/>
        <w:widowControl/>
        <w:spacing w:line="240" w:lineRule="auto" w:before="28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5.2 General</w:t>
      </w:r>
    </w:p>
    <w:p>
      <w:pPr>
        <w:autoSpaceDN w:val="0"/>
        <w:autoSpaceDE w:val="0"/>
        <w:widowControl/>
        <w:spacing w:line="245" w:lineRule="auto" w:before="17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ASIL of the safety goals of an item under development is propagated throughout the item's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development. Starting from safety goals, the safety requirements are derived and refined during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 phases. The ASIL, as an attribute of the safety goal, is inherited by each subsequent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requirement. The safety requirements are allocated to architectural elements, starting with functional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safety requirements allocated to elements of system architectural design and finally resulting in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 allocated to the hardware and/or software elements.</w:t>
      </w:r>
    </w:p>
    <w:p>
      <w:pPr>
        <w:autoSpaceDN w:val="0"/>
        <w:autoSpaceDE w:val="0"/>
        <w:widowControl/>
        <w:spacing w:line="245" w:lineRule="auto" w:before="168" w:after="0"/>
        <w:ind w:left="0" w:right="22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decomposition is a method of ASIL tailoring during the concept and development phases. During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safety requirements allocation process, benefit can be obtained from architectural decisions </w:t>
      </w:r>
      <w:r>
        <w:rPr>
          <w:rFonts w:ascii="Cambria" w:hAnsi="Cambria" w:eastAsia="Cambria"/>
          <w:b w:val="0"/>
          <w:i w:val="0"/>
          <w:color w:val="221F1F"/>
          <w:sz w:val="22"/>
        </w:rPr>
        <w:t>including the existence of sufficiently independent architectural elements. This offers the opportunity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to implement safety requirements redundantly by these independent architectural elements,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to assign a potentially lower ASIL to (some of) these decomposed safety requirements.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the architectural elements are not sufficiently independent, then the redundant requirements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the architectural elements inherit the initial ASIL.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decomposition is an ASIL tailoring measure that can be applied to the functional, technical, </w:t>
      </w:r>
      <w:r>
        <w:rPr>
          <w:rFonts w:ascii="Cambria" w:hAnsi="Cambria" w:eastAsia="Cambria"/>
          <w:b w:val="0"/>
          <w:i w:val="0"/>
          <w:color w:val="221F1F"/>
          <w:sz w:val="22"/>
        </w:rPr>
        <w:t>hardware or software safety requirements of the item or element.</w:t>
      </w:r>
    </w:p>
    <w:p>
      <w:pPr>
        <w:autoSpaceDN w:val="0"/>
        <w:autoSpaceDE w:val="0"/>
        <w:widowControl/>
        <w:spacing w:line="245" w:lineRule="auto" w:before="170" w:after="0"/>
        <w:ind w:left="0" w:right="22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 general, ASIL decomposition allows the apportioning of the ASIL of a safety requirement between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several elements that ensure compliance with the same safety requirement addressing the same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goal. ASIL decomposition between an intended functionality and its corresponding safety mechanism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 allowed under certain conditions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5.4.7</w:t>
      </w:r>
      <w:r>
        <w:rPr>
          <w:rFonts w:ascii="Cambria" w:hAnsi="Cambria" w:eastAsia="Cambria"/>
          <w:b w:val="0"/>
          <w:i w:val="0"/>
          <w:color w:val="221F1F"/>
          <w:sz w:val="22"/>
        </w:rPr>
        <w:t>).</w:t>
      </w:r>
    </w:p>
    <w:p>
      <w:pPr>
        <w:autoSpaceDN w:val="0"/>
        <w:autoSpaceDE w:val="0"/>
        <w:widowControl/>
        <w:spacing w:line="245" w:lineRule="auto" w:before="168" w:after="0"/>
        <w:ind w:left="0" w:right="22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requirements specific to the random hardware failures, including the evaluation of the hardware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architectural metrics and the evaluation of safety goal violations due to random hardware failures (see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26262-5:2018, Clause 8 and Clause 9) remain unchanged by ASIL decomposition.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 example architecture decomposition is given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Annex B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222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48" w:bottom="258" w:left="738" w:header="720" w:footer="720" w:gutter="0"/>
          <w:cols w:space="720" w:num="1" w:equalWidth="0"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5.3 Inputs to this clause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5.3.1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Prerequisites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shall be available: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safety requirements at the level at which the ASIL decomposition is to be applied: vehicle, system,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hardware, or software in accordance with ISO 26262-3:2018, 7.5.1, or ISO 26262-4:2018, 6.5.1, or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26262-5:2018, 6.5.1 or ISO 26262-6:2018, 6.5.1; and</w:t>
      </w:r>
    </w:p>
    <w:p>
      <w:pPr>
        <w:autoSpaceDN w:val="0"/>
        <w:autoSpaceDE w:val="0"/>
        <w:widowControl/>
        <w:spacing w:line="245" w:lineRule="auto" w:before="170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architectural information at the level at which the ASIL decomposition is to be applied: vehicle,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hardware, or software in accordance with ISO 26262-3:2018, 7.5.1, or ISO 26262-4:2018,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6.5.3, or ISO 26262-5:2018, 7.5.1, or ISO 26262-6:2018, 7.5.1.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8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5.3.2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Further supporting information</w:t>
      </w:r>
    </w:p>
    <w:p>
      <w:pPr>
        <w:autoSpaceDN w:val="0"/>
        <w:autoSpaceDE w:val="0"/>
        <w:widowControl/>
        <w:spacing w:line="240" w:lineRule="auto" w:before="18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can be considered: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item definition (see ISO 26262-3:2018, 5.5.1);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center"/>
      </w:pPr>
      <w:r>
        <w:rPr>
          <w:rFonts w:ascii="Cambria" w:hAnsi="Cambria" w:eastAsia="Cambria"/>
          <w:b w:val="0"/>
          <w:i w:val="0"/>
          <w:color w:val="221F1F"/>
          <w:sz w:val="22"/>
        </w:rPr>
        <w:t>— safety goals included in the hazard analysis and risk assessment report (see ISO 26262-3:2018, 6.5.1).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5.4 Requirements and recommendations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If ASIL decomposition is applied, all the requirements within this clause shall be complied with.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decomposition shall be performed by considering each initial safety requirement </w:t>
      </w:r>
      <w:r>
        <w:rPr>
          <w:rFonts w:ascii="Cambria" w:hAnsi="Cambria" w:eastAsia="Cambria"/>
          <w:b w:val="0"/>
          <w:i w:val="0"/>
          <w:color w:val="221F1F"/>
          <w:sz w:val="22"/>
        </w:rPr>
        <w:t>individually.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Several safety requirements can be allocated to the same independent elements as the result of ASIL </w:t>
      </w:r>
      <w:r>
        <w:rPr>
          <w:rFonts w:ascii="Cambria" w:hAnsi="Cambria" w:eastAsia="Cambria"/>
          <w:b w:val="0"/>
          <w:i w:val="0"/>
          <w:color w:val="221F1F"/>
          <w:sz w:val="20"/>
        </w:rPr>
        <w:t>decompositions of different initial safety requirements.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initial safety requirement shall be decomposed to redundant safety requirements, that shall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be implemented by sufficiently independent elements. These elements are sufficiently independent if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analysis of dependent failures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7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) does not find a plausible cause of dependent failures that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can lead to the violation of an initial safety requirement, or if each identified cause of dependent failures </w:t>
      </w:r>
      <w:r>
        <w:rPr>
          <w:rFonts w:ascii="Cambria" w:hAnsi="Cambria" w:eastAsia="Cambria"/>
          <w:b w:val="0"/>
          <w:i w:val="0"/>
          <w:color w:val="221F1F"/>
          <w:sz w:val="22"/>
        </w:rPr>
        <w:t>is controlled by an adequate safety measure according to the ASIL of the initial safety requirement.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 given decomposed requirement can be the result of the decomposition of several initial safety </w:t>
      </w:r>
      <w:r>
        <w:rPr>
          <w:rFonts w:ascii="Cambria" w:hAnsi="Cambria" w:eastAsia="Cambria"/>
          <w:b w:val="0"/>
          <w:i w:val="0"/>
          <w:color w:val="221F1F"/>
          <w:sz w:val="20"/>
        </w:rPr>
        <w:t>requirements.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use of homogenous redundancy to implement the decomposed requirements (e.g. by duplicated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device or duplicated software) does not address the systematic failures of hardware and software. This prevents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ASIL from being reduced, unless an analysis of dependent failures (see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>Clause 7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) provides evidence that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sufficient independence (see ISO 26262-1:2018, 3.78) exists or that the potential common causes lead to a safe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state. Therefore, homogenous redundancy alone is, in general, not sufficient for reducing the ASIL without the </w:t>
      </w:r>
      <w:r>
        <w:rPr>
          <w:rFonts w:ascii="Cambria" w:hAnsi="Cambria" w:eastAsia="Cambria"/>
          <w:b w:val="0"/>
          <w:i w:val="0"/>
          <w:color w:val="221F1F"/>
          <w:sz w:val="20"/>
        </w:rPr>
        <w:t>support of the analysis of dependent failures for the specific system context.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In general, ASIL decomposition does not apply to elements ensuring the channel selection or switching </w:t>
      </w:r>
      <w:r>
        <w:rPr>
          <w:rFonts w:ascii="Cambria" w:hAnsi="Cambria" w:eastAsia="Cambria"/>
          <w:b w:val="0"/>
          <w:i w:val="0"/>
          <w:color w:val="221F1F"/>
          <w:sz w:val="20"/>
        </w:rPr>
        <w:t>in multi-channel architectural designs.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Each decomposed safety requirement shall comply with the initial safety requirement by itself.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This provides redundancy by definition.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If a decomposed safety requirement is allocated to a safety mechanism, the effectiveness of this safety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mechanism is considered in the evaluation of the compliance of the decomposed requirement with the initial </w:t>
      </w:r>
      <w:r>
        <w:rPr>
          <w:rFonts w:ascii="Cambria" w:hAnsi="Cambria" w:eastAsia="Cambria"/>
          <w:b w:val="0"/>
          <w:i w:val="0"/>
          <w:color w:val="221F1F"/>
          <w:sz w:val="20"/>
        </w:rPr>
        <w:t>safety requirement.</w:t>
      </w:r>
    </w:p>
    <w:p>
      <w:pPr>
        <w:autoSpaceDN w:val="0"/>
        <w:tabs>
          <w:tab w:pos="9620" w:val="left"/>
        </w:tabs>
        <w:autoSpaceDE w:val="0"/>
        <w:widowControl/>
        <w:spacing w:line="240" w:lineRule="auto" w:before="75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5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1338" w:val="left"/>
        </w:tabs>
        <w:autoSpaceDE w:val="0"/>
        <w:widowControl/>
        <w:spacing w:line="245" w:lineRule="auto" w:before="71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An ASIL D requirement allocated to a given ECU might naively be decomposed between an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ASIL D requirement allocated to a simple watchdog in this ECU and a QM safety requirement allocated to the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microprocessor of the ECU. However, this simple watchdog is insufficient to cover the failure modes of a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microprocessor with regard to an ASIL D requirement. In this case, this watchdog does not effectively comply </w:t>
      </w:r>
      <w:r>
        <w:rPr>
          <w:rFonts w:ascii="Cambria" w:hAnsi="Cambria" w:eastAsia="Cambria"/>
          <w:b w:val="0"/>
          <w:i w:val="0"/>
          <w:color w:val="221F1F"/>
          <w:sz w:val="20"/>
        </w:rPr>
        <w:t>with the initial safety requirement.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5.4.5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requirements on the evaluation of the hardware architectural metrics and the evaluation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of safety goal violations due to random hardware failures in accordance with ISO 26262-5 shall remain </w:t>
      </w:r>
      <w:r>
        <w:rPr>
          <w:rFonts w:ascii="Cambria" w:hAnsi="Cambria" w:eastAsia="Cambria"/>
          <w:b w:val="0"/>
          <w:i w:val="0"/>
          <w:color w:val="221F1F"/>
          <w:sz w:val="22"/>
        </w:rPr>
        <w:t>unchanged by ASIL decomposition.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5.4.6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ASIL decomposition is applied at the software level, sufficient independence between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elements implementing the decomposed requirements shall be verified at the system level. If necessary,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additional measures shall be taken at the software level, hardware level, or system level to achieve </w:t>
      </w:r>
      <w:r>
        <w:rPr>
          <w:rFonts w:ascii="Cambria" w:hAnsi="Cambria" w:eastAsia="Cambria"/>
          <w:b w:val="0"/>
          <w:i w:val="0"/>
          <w:color w:val="221F1F"/>
          <w:sz w:val="22"/>
        </w:rPr>
        <w:t>sufficient independence.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5.4.7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ASIL decomposition of an initial safety requirement results in the allocation of decomposed </w:t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 to the intended functionality and an associated safety mechanism, then:</w:t>
      </w:r>
    </w:p>
    <w:p>
      <w:pPr>
        <w:autoSpaceDN w:val="0"/>
        <w:autoSpaceDE w:val="0"/>
        <w:widowControl/>
        <w:spacing w:line="238" w:lineRule="auto" w:before="18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the associated safety mechanism should be assigned the higher decomposed ASIL; and</w:t>
      </w:r>
    </w:p>
    <w:p>
      <w:pPr>
        <w:autoSpaceDN w:val="0"/>
        <w:tabs>
          <w:tab w:pos="1366" w:val="left"/>
        </w:tabs>
        <w:autoSpaceDE w:val="0"/>
        <w:widowControl/>
        <w:spacing w:line="245" w:lineRule="auto" w:before="184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In general, the safety mechanisms have a lower complexity and lower size than the intended </w:t>
      </w:r>
      <w:r>
        <w:rPr>
          <w:rFonts w:ascii="Cambria" w:hAnsi="Cambria" w:eastAsia="Cambria"/>
          <w:b w:val="0"/>
          <w:i w:val="0"/>
          <w:color w:val="221F1F"/>
          <w:sz w:val="20"/>
        </w:rPr>
        <w:t>functionality.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a safety requirement shall be allocated to the intended functionality and implemented applying the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corresponding decomposed ASIL.</w:t>
      </w:r>
    </w:p>
    <w:p>
      <w:pPr>
        <w:autoSpaceDN w:val="0"/>
        <w:tabs>
          <w:tab w:pos="1366" w:val="left"/>
        </w:tabs>
        <w:autoSpaceDE w:val="0"/>
        <w:widowControl/>
        <w:spacing w:line="245" w:lineRule="auto" w:before="182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If the decomposition schema ASIL x(x) + QM(x) is chosen, then QM(x) means that the quality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management system is sufficient to develop element(s) that implement the safety requirement allocated to </w:t>
      </w:r>
      <w:r>
        <w:rPr>
          <w:rFonts w:ascii="Cambria" w:hAnsi="Cambria" w:eastAsia="Cambria"/>
          <w:b w:val="0"/>
          <w:i w:val="0"/>
          <w:color w:val="221F1F"/>
          <w:sz w:val="20"/>
        </w:rPr>
        <w:t>the intended functionality.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5.4.8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When applying ASIL decomposition to a safety requirement: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ASIL decomposition shall be applied in accordance with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5.4.9</w:t>
      </w:r>
      <w:r>
        <w:rPr>
          <w:rFonts w:ascii="Cambria" w:hAnsi="Cambria" w:eastAsia="Cambria"/>
          <w:b w:val="0"/>
          <w:i w:val="0"/>
          <w:color w:val="221F1F"/>
          <w:sz w:val="22"/>
        </w:rPr>
        <w:t>;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ASIL decomposition may be applied more than once (in this case, the intermediate requirement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allocation step may be omitted); and</w:t>
      </w:r>
    </w:p>
    <w:p>
      <w:pPr>
        <w:autoSpaceDN w:val="0"/>
        <w:tabs>
          <w:tab w:pos="402" w:val="left"/>
        </w:tabs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each decomposed ASIL shall be marked by giving the ASIL of the safety goal in parenthesis.</w:t>
      </w:r>
    </w:p>
    <w:p>
      <w:pPr>
        <w:autoSpaceDN w:val="0"/>
        <w:tabs>
          <w:tab w:pos="1338" w:val="left"/>
        </w:tabs>
        <w:autoSpaceDE w:val="0"/>
        <w:widowControl/>
        <w:spacing w:line="245" w:lineRule="auto" w:before="16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If an ASIL D requirement is decomposed into one ASIL C requirement and one ASIL A requirement,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then these are marked as “ASIL C(D)” and “ASIL A(D)”. If the ASIL C(D) requirement is further decomposed into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one ASIL B requirement and one ASIL A requirement, then these are also marked with the ASIL of the safety goal </w:t>
      </w:r>
      <w:r>
        <w:rPr>
          <w:rFonts w:ascii="Cambria" w:hAnsi="Cambria" w:eastAsia="Cambria"/>
          <w:b w:val="0"/>
          <w:i w:val="0"/>
          <w:color w:val="221F1F"/>
          <w:sz w:val="20"/>
        </w:rPr>
        <w:t>as “ASIL B(D)” and “ASIL A(D)”.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5.4.9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One of the following decomposition schemas outlined below shall be chosen in accordance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ASIL before decomposition (as shown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Figure 2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). A decomposition schema resulting in higher ASILs </w:t>
      </w:r>
      <w:r>
        <w:rPr>
          <w:rFonts w:ascii="Cambria" w:hAnsi="Cambria" w:eastAsia="Cambria"/>
          <w:b w:val="0"/>
          <w:i w:val="0"/>
          <w:color w:val="221F1F"/>
          <w:sz w:val="22"/>
        </w:rPr>
        <w:t>may also be used.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step from one level of the selected decomposition schema to the lower next level defines one </w:t>
      </w:r>
      <w:r>
        <w:rPr>
          <w:rFonts w:ascii="Cambria" w:hAnsi="Cambria" w:eastAsia="Cambria"/>
          <w:b w:val="0"/>
          <w:i w:val="0"/>
          <w:color w:val="221F1F"/>
          <w:sz w:val="20"/>
        </w:rPr>
        <w:t>decomposition of the ASIL.</w:t>
      </w:r>
    </w:p>
    <w:p>
      <w:pPr>
        <w:autoSpaceDN w:val="0"/>
        <w:autoSpaceDE w:val="0"/>
        <w:widowControl/>
        <w:spacing w:line="240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An ASIL D requirement shall be decomposed as one of the following:</w:t>
      </w:r>
    </w:p>
    <w:p>
      <w:pPr>
        <w:autoSpaceDN w:val="0"/>
        <w:autoSpaceDE w:val="0"/>
        <w:widowControl/>
        <w:spacing w:line="240" w:lineRule="auto" w:before="168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1) one ASIL C(D) requirement and one ASIL A(D) requirement; or</w:t>
      </w:r>
    </w:p>
    <w:p>
      <w:pPr>
        <w:autoSpaceDN w:val="0"/>
        <w:autoSpaceDE w:val="0"/>
        <w:widowControl/>
        <w:spacing w:line="240" w:lineRule="auto" w:before="168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2) one ASIL B(D) requirement and one ASIL B(D) requirement; or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47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3) one ASIL D(D) requirement and one QM(D) requirement.</w:t>
      </w:r>
    </w:p>
    <w:p>
      <w:pPr>
        <w:autoSpaceDN w:val="0"/>
        <w:autoSpaceDE w:val="0"/>
        <w:widowControl/>
        <w:spacing w:line="343" w:lineRule="auto" w:before="170" w:after="0"/>
        <w:ind w:left="396" w:right="2880" w:hanging="396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An ASIL C requirement shall be decomposed as one of the following: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1) one ASIL B(C) requirement and one ASIL A(C) requirement; or </w:t>
      </w:r>
      <w:r>
        <w:rPr>
          <w:rFonts w:ascii="Cambria" w:hAnsi="Cambria" w:eastAsia="Cambria"/>
          <w:b w:val="0"/>
          <w:i w:val="0"/>
          <w:color w:val="221F1F"/>
          <w:sz w:val="22"/>
        </w:rPr>
        <w:t>2) one ASIL C(C) requirement and one QM(C) requirement.</w:t>
      </w:r>
    </w:p>
    <w:p>
      <w:pPr>
        <w:autoSpaceDN w:val="0"/>
        <w:tabs>
          <w:tab w:pos="396" w:val="left"/>
          <w:tab w:pos="402" w:val="left"/>
        </w:tabs>
        <w:autoSpaceDE w:val="0"/>
        <w:widowControl/>
        <w:spacing w:line="343" w:lineRule="auto" w:before="168" w:after="0"/>
        <w:ind w:left="0" w:right="288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 ASIL B requirement shall be decomposed as one of the following: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1) one ASIL A(B) requirement and one ASIL A(B) requirement; or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2) one ASIL B(B) requirement and one QM(B) requirement.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d) An ASIL A shall only be decomposed, if needed, as one ASIL A(A) requirement and one QM(A)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requirement.</w:t>
      </w:r>
    </w:p>
    <w:p>
      <w:pPr>
        <w:autoSpaceDN w:val="0"/>
        <w:tabs>
          <w:tab w:pos="9620" w:val="left"/>
        </w:tabs>
        <w:autoSpaceDE w:val="0"/>
        <w:widowControl/>
        <w:spacing w:line="240" w:lineRule="auto" w:before="1091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7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5100" cy="1422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5100" cy="1422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5100" cy="1422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5100" cy="143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43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96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Figure 2 — ASIL decomposition schemas</w:t>
      </w:r>
    </w:p>
    <w:p>
      <w:pPr>
        <w:autoSpaceDN w:val="0"/>
        <w:tabs>
          <w:tab w:pos="962" w:val="left"/>
          <w:tab w:pos="1338" w:val="left"/>
        </w:tabs>
        <w:autoSpaceDE w:val="0"/>
        <w:widowControl/>
        <w:spacing w:line="324" w:lineRule="auto" w:before="35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0"/>
        </w:rPr>
        <w:t xml:space="preserve">Key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Req. X ASIL D → Elmt.E means that the requirement X with the ASIL D attribute is allocated to the element 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cases described in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>5.4.7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, where QM is assigned to the intended functionality and an ASIL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equal to the initial ASIL is assigned to its associated safety mechanism, are shown in the leftmost column.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The uppermost box of each decomposition step represents the ASIL before decomposition.</w:t>
      </w:r>
    </w:p>
    <w:p>
      <w:pPr>
        <w:autoSpaceDN w:val="0"/>
        <w:autoSpaceDE w:val="0"/>
        <w:widowControl/>
        <w:spacing w:line="326" w:lineRule="auto" w:before="186" w:after="0"/>
        <w:ind w:left="0" w:right="0" w:firstLine="962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Architectural elements E.1 and E.2 are sufficiently independent to comply with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 xml:space="preserve">5.4.3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3 </w:t>
      </w:r>
      <w:r>
        <w:br/>
      </w:r>
      <w:r>
        <w:rPr>
          <w:rFonts w:ascii="Cambria" w:hAnsi="Cambria" w:eastAsia="Cambria"/>
          <w:b/>
          <w:i w:val="0"/>
          <w:color w:val="221F1F"/>
          <w:sz w:val="22"/>
        </w:rPr>
        <w:t xml:space="preserve">5.4.10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When using any of the decomposition schemas given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5.4.9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evidence for sufficient independence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of the elements after decomposition shall be made available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5.4.3</w:t>
      </w:r>
      <w:r>
        <w:rPr>
          <w:rFonts w:ascii="Cambria" w:hAnsi="Cambria" w:eastAsia="Cambria"/>
          <w:b w:val="0"/>
          <w:i w:val="0"/>
          <w:color w:val="221F1F"/>
          <w:sz w:val="22"/>
        </w:rPr>
        <w:t>).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77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714" w:after="0"/>
        <w:ind w:left="0" w:right="20" w:firstLine="0"/>
        <w:jc w:val="both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5.4.11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development of the decomposed elements at the system level and at the software level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shall be performed, as a minimum, in accordance with the ASIL requirements (after decomposition)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of ISO 26262-4 and ISO 26262-6. The development of the decomposed elements at the hardware level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shall be performed, as a minimum, in accordance with the ASIL requirements (after decomposition) of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ISO 26262-5, except for the evaluation of the hardware architectural metrics and the evaluation of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goal violations due to random hardware failures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5.4.5</w:t>
      </w:r>
      <w:r>
        <w:rPr>
          <w:rFonts w:ascii="Cambria" w:hAnsi="Cambria" w:eastAsia="Cambria"/>
          <w:b w:val="0"/>
          <w:i w:val="0"/>
          <w:color w:val="221F1F"/>
          <w:sz w:val="22"/>
        </w:rPr>
        <w:t>).</w:t>
      </w:r>
    </w:p>
    <w:p>
      <w:pPr>
        <w:autoSpaceDN w:val="0"/>
        <w:autoSpaceDE w:val="0"/>
        <w:widowControl/>
        <w:spacing w:line="245" w:lineRule="auto" w:before="296" w:after="0"/>
        <w:ind w:left="0" w:right="20" w:firstLine="0"/>
        <w:jc w:val="both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5.4.12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At each level of the design process at which decomposition is applied, the corresponding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integration activities of the decomposed elements and subsequent activities, including verification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and confirmation measures, shall be applied in accordance with the requirements of the ASIL before </w:t>
      </w:r>
      <w:r>
        <w:rPr>
          <w:rFonts w:ascii="Cambria" w:hAnsi="Cambria" w:eastAsia="Cambria"/>
          <w:b w:val="0"/>
          <w:i w:val="0"/>
          <w:color w:val="221F1F"/>
          <w:sz w:val="22"/>
        </w:rPr>
        <w:t>decomposition.</w:t>
      </w:r>
    </w:p>
    <w:p>
      <w:pPr>
        <w:autoSpaceDN w:val="0"/>
        <w:autoSpaceDE w:val="0"/>
        <w:widowControl/>
        <w:spacing w:line="240" w:lineRule="auto" w:before="30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5.5 Work products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5.5.1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Update of architectural information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resulting from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5.5.2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Update of ASIL as attribute of safety requirements and elements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resulting from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autoSpaceDE w:val="0"/>
        <w:widowControl/>
        <w:spacing w:line="240" w:lineRule="auto" w:before="3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6 Criteria for coexistence of elements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6.1 Objectives</w:t>
      </w:r>
    </w:p>
    <w:p>
      <w:pPr>
        <w:autoSpaceDN w:val="0"/>
        <w:autoSpaceDE w:val="0"/>
        <w:widowControl/>
        <w:spacing w:line="240" w:lineRule="auto" w:before="17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This clause provides criteria for the coexistence within the same element of: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safety-related sub-elements with non-safety-related sub-elements;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b) safety-related sub-elements that have different ASILs assigned.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6.2 General</w:t>
      </w:r>
    </w:p>
    <w:p>
      <w:pPr>
        <w:autoSpaceDN w:val="0"/>
        <w:autoSpaceDE w:val="0"/>
        <w:widowControl/>
        <w:spacing w:line="245" w:lineRule="auto" w:before="17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By default, when an element is composed of several sub-elements, each of those sub-elements is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developed in accordance with the measures corresponding to the highest ASIL applicable to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>element, i.e. the highest ASIL of the safety requirements allocated to the element.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 the case of the coexistence of sub-elements that have different or no ASILs assigned, or the coexistence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of non-safety-related sub-elements with safety-related ones, it can be beneficial to avoid assigning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ASIL of the element to all the sub-elements. For this purpose, this clause provides guidance for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determining if sub-elements with different ASILs can coexist within the same element. This clause is </w:t>
      </w:r>
      <w:r>
        <w:rPr>
          <w:rFonts w:ascii="Cambria" w:hAnsi="Cambria" w:eastAsia="Cambria"/>
          <w:b w:val="0"/>
          <w:i w:val="0"/>
          <w:color w:val="221F1F"/>
          <w:sz w:val="22"/>
        </w:rPr>
        <w:t>based on the analysis of interference of each sub-element with the other sub-elements of an element.</w:t>
      </w:r>
    </w:p>
    <w:p>
      <w:pPr>
        <w:autoSpaceDN w:val="0"/>
        <w:autoSpaceDE w:val="0"/>
        <w:widowControl/>
        <w:spacing w:line="245" w:lineRule="auto" w:before="168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 the context of this clause, interference is the presence of cascading failures from a sub-element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no ASIL assigned, or a lower ASIL assigned, to a sub-element with a higher ASIL assigned which leads to </w:t>
      </w:r>
      <w:r>
        <w:rPr>
          <w:rFonts w:ascii="Cambria" w:hAnsi="Cambria" w:eastAsia="Cambria"/>
          <w:b w:val="0"/>
          <w:i w:val="0"/>
          <w:color w:val="221F1F"/>
          <w:sz w:val="22"/>
        </w:rPr>
        <w:t>the violation of a safety requirement of the element (see ISO 26262-1:2018, 3.65).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When determining the ASIL of sub-elements of an element, the rationale for freedom from interference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is supported by analyses of dependent failures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7</w:t>
      </w:r>
      <w:r>
        <w:rPr>
          <w:rFonts w:ascii="Cambria" w:hAnsi="Cambria" w:eastAsia="Cambria"/>
          <w:b w:val="0"/>
          <w:i w:val="0"/>
          <w:color w:val="221F1F"/>
          <w:sz w:val="22"/>
        </w:rPr>
        <w:t>), focused on cascading failures.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6.3 Inputs to this clause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6.3.1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Prerequisites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shall be available: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safety requirements at the level at which the analysis is to be performed: system, or hardware, or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software in accordance with ISO 26262-3:2018, 7.5.1, or ISO 26262-4:2018, 6.5.1, or ISO 26262-5:2018,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6.5.1, or ISO 26262-6:2018, 6.5.1;</w:t>
      </w:r>
    </w:p>
    <w:p>
      <w:pPr>
        <w:autoSpaceDN w:val="0"/>
        <w:tabs>
          <w:tab w:pos="9620" w:val="left"/>
        </w:tabs>
        <w:autoSpaceDE w:val="0"/>
        <w:widowControl/>
        <w:spacing w:line="240" w:lineRule="auto" w:before="49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9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714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architectural information of the element at the level at which the analysis is to be performed: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or hardware, or software, in accordance with ISO 26262-3:2018, 7.5.1, ISO 26262-4:2018,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6.5.3, or ISO 26262-5:2018, 7.5.1, or ISO 26262-6:2018, 7.5.1; and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the allocation of the safety requirements to the element and sub-elements under consideration.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8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6.3.2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Further supporting information</w:t>
      </w:r>
    </w:p>
    <w:p>
      <w:pPr>
        <w:autoSpaceDN w:val="0"/>
        <w:autoSpaceDE w:val="0"/>
        <w:widowControl/>
        <w:spacing w:line="240" w:lineRule="auto" w:before="18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None.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6.4 Requirements and recommendations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6.4.1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clause may be applied at any refinement step during the design process, in parallel with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>allocation of the safety requirements to the elements and sub-elements of an architecture.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Criteria of coexistence are typically considered during system design, hardware design, or software </w:t>
      </w:r>
      <w:r>
        <w:rPr>
          <w:rFonts w:ascii="Cambria" w:hAnsi="Cambria" w:eastAsia="Cambria"/>
          <w:b w:val="0"/>
          <w:i w:val="0"/>
          <w:color w:val="221F1F"/>
          <w:sz w:val="20"/>
        </w:rPr>
        <w:t>architectural design, in accordance with ISO 26262-4, or ISO 26262-5, or ISO 26262-6.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6.4.2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The following shall be considered during the analysis of an element: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each safety requirement allocated to the element; and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b) each sub-element that is part of the element.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6.4.3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 non-safety-related sub-element and safety-related sub-elements coexist in the same element,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then the non-safety-related sub-element shall only be treated as a non-safety-related sub-element if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evidence is made available that this non-safety-related sub-element cannot, directly or indirectly, violate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any safety requirement allocated to the element. That is, this non-safety-related sub-element cannot </w:t>
      </w:r>
      <w:r>
        <w:rPr>
          <w:rFonts w:ascii="Cambria" w:hAnsi="Cambria" w:eastAsia="Cambria"/>
          <w:b w:val="0"/>
          <w:i w:val="0"/>
          <w:color w:val="221F1F"/>
          <w:sz w:val="22"/>
        </w:rPr>
        <w:t>interfere with any safety-related sub-element of the element.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This means that there are no cascading failures from this sub-element to the safety-related sub-</w:t>
      </w:r>
      <w:r>
        <w:rPr>
          <w:rFonts w:ascii="Cambria" w:hAnsi="Cambria" w:eastAsia="Cambria"/>
          <w:b w:val="0"/>
          <w:i w:val="0"/>
          <w:color w:val="221F1F"/>
          <w:sz w:val="20"/>
        </w:rPr>
        <w:t>elements.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This can be achieved by design measures, such as those concerning the data flow and control flow for </w:t>
      </w:r>
      <w:r>
        <w:rPr>
          <w:rFonts w:ascii="Cambria" w:hAnsi="Cambria" w:eastAsia="Cambria"/>
          <w:b w:val="0"/>
          <w:i w:val="0"/>
          <w:color w:val="221F1F"/>
          <w:sz w:val="20"/>
        </w:rPr>
        <w:t>software, or the input/output signals and control lines for hardware.</w:t>
      </w:r>
    </w:p>
    <w:p>
      <w:pPr>
        <w:autoSpaceDN w:val="0"/>
        <w:autoSpaceDE w:val="0"/>
        <w:widowControl/>
        <w:spacing w:line="245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Otherwise, this sub-element shall be assigned the highest ASIL of the coexisting safety-related sub-</w:t>
      </w:r>
      <w:r>
        <w:rPr>
          <w:rFonts w:ascii="Cambria" w:hAnsi="Cambria" w:eastAsia="Cambria"/>
          <w:b w:val="0"/>
          <w:i w:val="0"/>
          <w:color w:val="221F1F"/>
          <w:sz w:val="22"/>
        </w:rPr>
        <w:t>elements for which evidence of freedom from interference is not available.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6.4.4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safety-related sub-elements implementing requirements with different ASILs, including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QM(X)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5.4.9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), coexist in the same element, then a considered sub-element shall only be treated as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 sub-element with a lower ASIL if evidence is available that, for each safety requirement allocated to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element, the considered sub-element cannot, directly or indirectly, violate any safety requirement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allocated to the sub-elements implementing higher ASIL requirements. Otherwise, the considered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sub-element shall be assigned the highest ASIL of the coexisting safety-related sub-elements for which </w:t>
      </w:r>
      <w:r>
        <w:rPr>
          <w:rFonts w:ascii="Cambria" w:hAnsi="Cambria" w:eastAsia="Cambria"/>
          <w:b w:val="0"/>
          <w:i w:val="0"/>
          <w:color w:val="221F1F"/>
          <w:sz w:val="22"/>
        </w:rPr>
        <w:t>evidence of freedom from interference is not available.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evaluation of the freedom from interference is commensurate with the highest ASIL requirements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allocated to the coexisting sub-elements (see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>7.4.8</w:t>
      </w:r>
      <w:r>
        <w:rPr>
          <w:rFonts w:ascii="Cambria" w:hAnsi="Cambria" w:eastAsia="Cambria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0" w:lineRule="auto" w:before="28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6.5 Work products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6.5.1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Update of the ASIL attribute of the sub-elements of the element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resulting from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6.4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5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10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08" w:after="0"/>
        <w:ind w:left="6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7 Analysis of dependent failures</w:t>
      </w:r>
    </w:p>
    <w:p>
      <w:pPr>
        <w:autoSpaceDN w:val="0"/>
        <w:tabs>
          <w:tab w:pos="408" w:val="left"/>
        </w:tabs>
        <w:autoSpaceDE w:val="0"/>
        <w:widowControl/>
        <w:spacing w:line="331" w:lineRule="auto" w:before="290" w:after="0"/>
        <w:ind w:left="6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 xml:space="preserve">7.1 Objectives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objectives of this clause are: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to confirm that a required independence or freedom from interference is sufficiently achieved in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design by analysing their potential causes or initiators; and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b) to define safety measures to mitigate plausible dependent failures, if necessary.</w:t>
      </w:r>
    </w:p>
    <w:p>
      <w:pPr>
        <w:autoSpaceDN w:val="0"/>
        <w:autoSpaceDE w:val="0"/>
        <w:widowControl/>
        <w:spacing w:line="274" w:lineRule="auto" w:before="286" w:after="0"/>
        <w:ind w:left="6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 xml:space="preserve">7.2 General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scope of the analysis of dependent failures can be influenced by the technology of the given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elements (e.g. software elements, hardware elements, or a mix of hardware and software elements), </w:t>
      </w:r>
      <w:r>
        <w:rPr>
          <w:rFonts w:ascii="Cambria" w:hAnsi="Cambria" w:eastAsia="Cambria"/>
          <w:b w:val="0"/>
          <w:i w:val="0"/>
          <w:color w:val="221F1F"/>
          <w:sz w:val="22"/>
        </w:rPr>
        <w:t>and by the safety requirements involved.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797300" cy="8509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5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1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66900" cy="63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21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87500" cy="20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797300" cy="5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36700" cy="20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08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Figure 3 — Relationship between the different classes of dependent failures</w:t>
      </w:r>
    </w:p>
    <w:p>
      <w:pPr>
        <w:autoSpaceDN w:val="0"/>
        <w:autoSpaceDE w:val="0"/>
        <w:widowControl/>
        <w:spacing w:line="245" w:lineRule="auto" w:before="352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Figure 3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describes the relationship between dependent failures, freedom from interference,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technical independence.</w:t>
      </w:r>
    </w:p>
    <w:p>
      <w:pPr>
        <w:autoSpaceDN w:val="0"/>
        <w:autoSpaceDE w:val="0"/>
        <w:widowControl/>
        <w:spacing w:line="245" w:lineRule="auto" w:before="170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Freedom from interference is used to justify the coexistence of elements with different, or no, assigned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ASIL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6</w:t>
      </w:r>
      <w:r>
        <w:rPr>
          <w:rFonts w:ascii="Cambria" w:hAnsi="Cambria" w:eastAsia="Cambria"/>
          <w:b w:val="0"/>
          <w:i w:val="0"/>
          <w:color w:val="221F1F"/>
          <w:sz w:val="22"/>
        </w:rPr>
        <w:t>).</w:t>
      </w:r>
    </w:p>
    <w:p>
      <w:pPr>
        <w:autoSpaceDN w:val="0"/>
        <w:autoSpaceDE w:val="0"/>
        <w:widowControl/>
        <w:spacing w:line="245" w:lineRule="auto" w:before="170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Freedom from interference and absence of common cause failures are used to justify independence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when performing ASIL decomposition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5</w:t>
      </w:r>
      <w:r>
        <w:rPr>
          <w:rFonts w:ascii="Cambria" w:hAnsi="Cambria" w:eastAsia="Cambria"/>
          <w:b w:val="0"/>
          <w:i w:val="0"/>
          <w:color w:val="221F1F"/>
          <w:sz w:val="22"/>
        </w:rPr>
        <w:t>).</w:t>
      </w:r>
    </w:p>
    <w:p>
      <w:pPr>
        <w:autoSpaceDN w:val="0"/>
        <w:tabs>
          <w:tab w:pos="970" w:val="left"/>
        </w:tabs>
        <w:autoSpaceDE w:val="0"/>
        <w:widowControl/>
        <w:spacing w:line="245" w:lineRule="auto" w:before="182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Other system properties can also require independence and, thus, absence of dependent failures. For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instance, the analysis of dependent failures can be used to support the demonstration of effectiveness of the </w:t>
      </w:r>
      <w:r>
        <w:rPr>
          <w:rFonts w:ascii="Cambria" w:hAnsi="Cambria" w:eastAsia="Cambria"/>
          <w:b w:val="0"/>
          <w:i w:val="0"/>
          <w:color w:val="221F1F"/>
          <w:sz w:val="20"/>
        </w:rPr>
        <w:t>safety mechanisms to avoid single-point faults and latent faults (e.g. see ISO 26262-5:2018, Clause 8).</w:t>
      </w:r>
    </w:p>
    <w:p>
      <w:pPr>
        <w:autoSpaceDN w:val="0"/>
        <w:tabs>
          <w:tab w:pos="970" w:val="left"/>
        </w:tabs>
        <w:autoSpaceDE w:val="0"/>
        <w:widowControl/>
        <w:spacing w:line="242" w:lineRule="auto" w:before="186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The analysis of dependent failures can be applied at various design levels of the system or the item.</w:t>
      </w:r>
    </w:p>
    <w:p>
      <w:pPr>
        <w:autoSpaceDN w:val="0"/>
        <w:autoSpaceDE w:val="0"/>
        <w:widowControl/>
        <w:spacing w:line="374" w:lineRule="auto" w:before="172" w:after="0"/>
        <w:ind w:left="6" w:right="1872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analysis of dependent failures considers architectural features such as: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similar and dissimilar redundant elements;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different functions implemented with identical software or hardware elements;</w:t>
      </w:r>
      <w:r>
        <w:rPr>
          <w:rFonts w:ascii="Cambria" w:hAnsi="Cambria" w:eastAsia="Cambria"/>
          <w:b w:val="0"/>
          <w:i w:val="0"/>
          <w:color w:val="221F1F"/>
          <w:sz w:val="22"/>
        </w:rPr>
        <w:t>— functions and their respective safety mechanisms;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partitions of functions or software elements;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physical distance between hardware elements, with or without a barrier; and</w:t>
      </w:r>
      <w:r>
        <w:rPr>
          <w:rFonts w:ascii="Cambria" w:hAnsi="Cambria" w:eastAsia="Cambria"/>
          <w:b w:val="0"/>
          <w:i w:val="0"/>
          <w:color w:val="221F1F"/>
          <w:sz w:val="22"/>
        </w:rPr>
        <w:t>— common external resources.</w:t>
      </w:r>
    </w:p>
    <w:p>
      <w:pPr>
        <w:autoSpaceDN w:val="0"/>
        <w:tabs>
          <w:tab w:pos="9496" w:val="left"/>
        </w:tabs>
        <w:autoSpaceDE w:val="0"/>
        <w:widowControl/>
        <w:spacing w:line="240" w:lineRule="auto" w:before="860" w:after="0"/>
        <w:ind w:left="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11</w:t>
      </w:r>
    </w:p>
    <w:p>
      <w:pPr>
        <w:sectPr>
          <w:pgSz w:w="11906" w:h="16838"/>
          <w:pgMar w:top="334" w:right="668" w:bottom="258" w:left="1412" w:header="720" w:footer="720" w:gutter="0"/>
          <w:cols w:space="720" w:num="1" w:equalWidth="0"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71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Independence is threatened by common cause failures and cascading failures, while freedom from </w:t>
      </w:r>
      <w:r>
        <w:rPr>
          <w:rFonts w:ascii="Cambria" w:hAnsi="Cambria" w:eastAsia="Cambria"/>
          <w:b w:val="0"/>
          <w:i w:val="0"/>
          <w:color w:val="221F1F"/>
          <w:sz w:val="22"/>
        </w:rPr>
        <w:t>interference is only threatened by cascading failures.</w:t>
      </w:r>
    </w:p>
    <w:p>
      <w:pPr>
        <w:autoSpaceDN w:val="0"/>
        <w:tabs>
          <w:tab w:pos="1338" w:val="left"/>
        </w:tabs>
        <w:autoSpaceDE w:val="0"/>
        <w:widowControl/>
        <w:spacing w:line="245" w:lineRule="auto" w:before="16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 high intensity electromagnetic field that causes different electronic devices to fail in a way that </w:t>
      </w:r>
      <w:r>
        <w:rPr>
          <w:rFonts w:ascii="Cambria" w:hAnsi="Cambria" w:eastAsia="Cambria"/>
          <w:b w:val="0"/>
          <w:i w:val="0"/>
          <w:color w:val="221F1F"/>
          <w:sz w:val="20"/>
        </w:rPr>
        <w:t>depends on design and use, is a common cause failure.</w:t>
      </w:r>
    </w:p>
    <w:p>
      <w:pPr>
        <w:autoSpaceDN w:val="0"/>
        <w:tabs>
          <w:tab w:pos="1338" w:val="left"/>
        </w:tabs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Erroneous vehicle speed information transmitted to other vehicle functions and thus, affecting </w:t>
      </w:r>
      <w:r>
        <w:rPr>
          <w:rFonts w:ascii="Cambria" w:hAnsi="Cambria" w:eastAsia="Cambria"/>
          <w:b w:val="0"/>
          <w:i w:val="0"/>
          <w:color w:val="221F1F"/>
          <w:sz w:val="20"/>
        </w:rPr>
        <w:t>their behaviour, is a cascading failure.</w:t>
      </w:r>
    </w:p>
    <w:p>
      <w:pPr>
        <w:autoSpaceDN w:val="0"/>
        <w:tabs>
          <w:tab w:pos="1338" w:val="left"/>
        </w:tabs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 monitor designed to detect anomalous behaviour of a function can be rendered inoperative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some time before the monitored function fails if both the monitor and the monitored function are subjected to </w:t>
      </w:r>
      <w:r>
        <w:rPr>
          <w:rFonts w:ascii="Cambria" w:hAnsi="Cambria" w:eastAsia="Cambria"/>
          <w:b w:val="0"/>
          <w:i w:val="0"/>
          <w:color w:val="221F1F"/>
          <w:sz w:val="20"/>
        </w:rPr>
        <w:t>the same event or cause, which is a common cause failure.</w:t>
      </w:r>
    </w:p>
    <w:p>
      <w:pPr>
        <w:autoSpaceDN w:val="0"/>
        <w:autoSpaceDE w:val="0"/>
        <w:widowControl/>
        <w:spacing w:line="240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 example framework for identifying dependent failures is given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Annex C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7.3 Inputs to this clause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9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7.3.1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Prerequisites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shall be available: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independence requirements at the level at which the analysis of dependent failures is applied: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hardware, or software in accordance with ISO 26262-3:2018, 7.5.1, ISO 26262-4:2018, 6.5.1,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26262-5:2018, 6.5.1, or ISO 26262-6:2018, 6.5.1;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freedom from interference requirements at the level at which the analysis of dependent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failures is applied: system, hardware, or software in accordance with ISO 26262-3:2018, 7.5.1,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26262-4:2018, 6.5.1, ISO 26262-5:2018, 6.5.1, or ISO 26262-6:2018, 6.5.1;</w:t>
      </w:r>
    </w:p>
    <w:p>
      <w:pPr>
        <w:autoSpaceDN w:val="0"/>
        <w:autoSpaceDE w:val="0"/>
        <w:widowControl/>
        <w:spacing w:line="245" w:lineRule="auto" w:before="168" w:after="122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architectural information at the level at which the analysis of dependent failures is applied: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hardware, or software in accordance with ISO 26262-3:2018, 7.5.1, ISO 26262-4:2018, 6.5.3,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26262-5:2018, 7.5.1, or ISO 26262-6:2018, 7.5.1;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.00000000000003" w:type="dxa"/>
      </w:tblPr>
      <w:tblGrid>
        <w:gridCol w:w="4909"/>
        <w:gridCol w:w="4909"/>
      </w:tblGrid>
      <w:tr>
        <w:trPr>
          <w:trHeight w:hRule="exact" w:val="576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2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NOTE 1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failures.</w:t>
            </w:r>
          </w:p>
        </w:tc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0" w:after="0"/>
              <w:ind w:left="14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architectural information is used to determine the boundary of the analysis of dependent </w:t>
            </w:r>
          </w:p>
        </w:tc>
      </w:tr>
    </w:tbl>
    <w:p>
      <w:pPr>
        <w:autoSpaceDN w:val="0"/>
        <w:autoSpaceDE w:val="0"/>
        <w:widowControl/>
        <w:spacing w:line="240" w:lineRule="auto" w:before="11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the safety plan in accordance with ISO 26262-2:2018, 6.5.3.</w:t>
      </w:r>
    </w:p>
    <w:p>
      <w:pPr>
        <w:autoSpaceDN w:val="0"/>
        <w:tabs>
          <w:tab w:pos="1366" w:val="left"/>
        </w:tabs>
        <w:autoSpaceDE w:val="0"/>
        <w:widowControl/>
        <w:spacing w:line="245" w:lineRule="auto" w:before="182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objectives and scope of a dependent failure analysis depend on the sub-phase and the level of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abstraction at which the analysis is performed. This information is defined prior to conducting the analysis, </w:t>
      </w:r>
      <w:r>
        <w:rPr>
          <w:rFonts w:ascii="Cambria" w:hAnsi="Cambria" w:eastAsia="Cambria"/>
          <w:b w:val="0"/>
          <w:i w:val="0"/>
          <w:color w:val="221F1F"/>
          <w:sz w:val="20"/>
        </w:rPr>
        <w:t>for instance in the safety plan.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7.3.2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Further supporting information</w:t>
      </w:r>
    </w:p>
    <w:p>
      <w:pPr>
        <w:autoSpaceDN w:val="0"/>
        <w:autoSpaceDE w:val="0"/>
        <w:widowControl/>
        <w:spacing w:line="240" w:lineRule="auto" w:before="18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None.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7.4 Requirements and recommendations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potential for dependent failures shall be identified from the results of safety analyses in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accordance with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8</w:t>
      </w:r>
      <w:r>
        <w:rPr>
          <w:rFonts w:ascii="Cambria" w:hAnsi="Cambria" w:eastAsia="Cambria"/>
          <w:b w:val="0"/>
          <w:i/>
          <w:color w:val="221F1F"/>
          <w:sz w:val="22"/>
        </w:rPr>
        <w:t>.</w:t>
      </w:r>
    </w:p>
    <w:p>
      <w:pPr>
        <w:autoSpaceDN w:val="0"/>
        <w:tabs>
          <w:tab w:pos="962" w:val="left"/>
        </w:tabs>
        <w:autoSpaceDE w:val="0"/>
        <w:widowControl/>
        <w:spacing w:line="240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Both systematic failures and random hardware failures have the potential to be dependent failures.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identification of the potential for dependent failures can be based on deductive analyses, e.g. </w:t>
      </w:r>
      <w:r>
        <w:rPr>
          <w:rFonts w:ascii="Cambria" w:hAnsi="Cambria" w:eastAsia="Cambria"/>
          <w:b w:val="0"/>
          <w:i w:val="0"/>
          <w:color w:val="221F1F"/>
          <w:sz w:val="20"/>
        </w:rPr>
        <w:t>examination of cut sets or repeated identical events of an FTA.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identification of the potential for dependent failures can also be supported by inductive analyses, </w:t>
      </w:r>
      <w:r>
        <w:rPr>
          <w:rFonts w:ascii="Cambria" w:hAnsi="Cambria" w:eastAsia="Cambria"/>
          <w:b w:val="0"/>
          <w:i w:val="0"/>
          <w:color w:val="221F1F"/>
          <w:sz w:val="20"/>
        </w:rPr>
        <w:t>e.g. similar parts or components with similar failure modes that appear several times in an FMEA.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Examples of analyses of dependent failures applied on semiconductors can be found in </w:t>
      </w:r>
      <w:r>
        <w:rPr>
          <w:rFonts w:ascii="Cambria" w:hAnsi="Cambria" w:eastAsia="Cambria"/>
          <w:b w:val="0"/>
          <w:i w:val="0"/>
          <w:color w:val="221F1F"/>
          <w:sz w:val="20"/>
        </w:rPr>
        <w:t>ISO 26262-11:2018, 4.7.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47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12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71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Each identified potential for dependent failures shall be evaluated to determine its plausibility,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i.e. if a reasonably foreseeable cause exists which leads to the dependent failure and consequently </w:t>
      </w:r>
      <w:r>
        <w:rPr>
          <w:rFonts w:ascii="Cambria" w:hAnsi="Cambria" w:eastAsia="Cambria"/>
          <w:b w:val="0"/>
          <w:i w:val="0"/>
          <w:color w:val="221F1F"/>
          <w:sz w:val="22"/>
        </w:rPr>
        <w:t>violates a required independence, or freedom from interference, between given elements.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When quantification of random hardware failures is required, as for the evaluation of the safety goal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violations due to random hardware failures (see ISO 26262-5), the contribution of common cause failures and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cascading failures is estimated on a qualitative basis because no general and sufficiently reliable method exists </w:t>
      </w:r>
      <w:r>
        <w:rPr>
          <w:rFonts w:ascii="Cambria" w:hAnsi="Cambria" w:eastAsia="Cambria"/>
          <w:b w:val="0"/>
          <w:i w:val="0"/>
          <w:color w:val="221F1F"/>
          <w:sz w:val="20"/>
        </w:rPr>
        <w:t>for quantifying such failures.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This evaluation shall consider the operational situations as well as the different operating modes </w:t>
      </w:r>
      <w:r>
        <w:rPr>
          <w:rFonts w:ascii="Cambria" w:hAnsi="Cambria" w:eastAsia="Cambria"/>
          <w:b w:val="0"/>
          <w:i w:val="0"/>
          <w:color w:val="221F1F"/>
          <w:sz w:val="22"/>
        </w:rPr>
        <w:t>of the item or element being analysed.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This evaluation shall consider the following topics, as applicable: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evaluation of the plausibility of the potential dependent failures can be supported by appropriate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checklists, e.g. checklists based on field experience. The checklists provide the analysts with representative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examples of root causes and coupling factors such as same design, same process, same component, same interface,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proximity.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>Annex C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 can be used as a basis to establish such checklists.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This evaluation can also be supported by the adherence to process guidelines which are intended to </w:t>
      </w:r>
      <w:r>
        <w:rPr>
          <w:rFonts w:ascii="Cambria" w:hAnsi="Cambria" w:eastAsia="Cambria"/>
          <w:b w:val="0"/>
          <w:i w:val="0"/>
          <w:color w:val="221F1F"/>
          <w:sz w:val="20"/>
        </w:rPr>
        <w:t>prevent the introduction of root causes and coupling factors that could lead to dependent failures.</w:t>
      </w:r>
    </w:p>
    <w:p>
      <w:pPr>
        <w:autoSpaceDN w:val="0"/>
        <w:autoSpaceDE w:val="0"/>
        <w:widowControl/>
        <w:spacing w:line="240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a) random hardware failures;</w:t>
      </w:r>
    </w:p>
    <w:p>
      <w:pPr>
        <w:autoSpaceDN w:val="0"/>
        <w:tabs>
          <w:tab w:pos="1762" w:val="left"/>
        </w:tabs>
        <w:autoSpaceDE w:val="0"/>
        <w:widowControl/>
        <w:spacing w:line="245" w:lineRule="auto" w:before="166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Failures of common blocks such as clock, test logic and internal voltage regulators in large </w:t>
      </w:r>
      <w:r>
        <w:rPr>
          <w:rFonts w:ascii="Cambria" w:hAnsi="Cambria" w:eastAsia="Cambria"/>
          <w:b w:val="0"/>
          <w:i w:val="0"/>
          <w:color w:val="221F1F"/>
          <w:sz w:val="20"/>
        </w:rPr>
        <w:t>scale integrated circuits (microcontrollers, ASICs, etc.).</w:t>
      </w:r>
    </w:p>
    <w:p>
      <w:pPr>
        <w:autoSpaceDN w:val="0"/>
        <w:autoSpaceDE w:val="0"/>
        <w:widowControl/>
        <w:spacing w:line="240" w:lineRule="auto" w:before="174" w:after="104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b) development faults;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73"/>
        <w:gridCol w:w="3273"/>
        <w:gridCol w:w="3273"/>
      </w:tblGrid>
      <w:tr>
        <w:trPr>
          <w:trHeight w:hRule="exact" w:val="286"/>
        </w:trPr>
        <w:tc>
          <w:tcPr>
            <w:tcW w:type="dxa" w:w="3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8" w:after="0"/>
              <w:ind w:left="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c)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EXAMPLE 2 </w:t>
            </w:r>
          </w:p>
        </w:tc>
        <w:tc>
          <w:tcPr>
            <w:tcW w:type="dxa" w:w="8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1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Requirement faults, design faults, implementation faults, faults resulting from the use of </w:t>
            </w:r>
          </w:p>
        </w:tc>
      </w:tr>
      <w:tr>
        <w:trPr>
          <w:trHeight w:hRule="exact" w:val="740"/>
        </w:trPr>
        <w:tc>
          <w:tcPr>
            <w:tcW w:type="dxa" w:w="3273"/>
            <w:vMerge/>
            <w:tcBorders/>
          </w:tcPr>
          <w:p/>
        </w:tc>
        <w:tc>
          <w:tcPr>
            <w:tcW w:type="dxa" w:w="9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0" w:after="0"/>
              <w:ind w:left="100" w:right="3456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new technologies and faults introduced when making modifications.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manufacturing faults;</w:t>
            </w:r>
          </w:p>
        </w:tc>
      </w:tr>
      <w:tr>
        <w:trPr>
          <w:trHeight w:hRule="exact" w:val="300"/>
        </w:trPr>
        <w:tc>
          <w:tcPr>
            <w:tcW w:type="dxa" w:w="3273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EXAMPLE 3 </w:t>
            </w:r>
          </w:p>
        </w:tc>
        <w:tc>
          <w:tcPr>
            <w:tcW w:type="dxa" w:w="8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4" w:after="0"/>
              <w:ind w:left="1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Faults related to processes, procedures and training; faults in control plans and in monitoring </w:t>
            </w:r>
          </w:p>
        </w:tc>
      </w:tr>
      <w:tr>
        <w:trPr>
          <w:trHeight w:hRule="exact" w:val="300"/>
        </w:trPr>
        <w:tc>
          <w:tcPr>
            <w:tcW w:type="dxa" w:w="3273"/>
            <w:vMerge/>
            <w:tcBorders/>
          </w:tcPr>
          <w:p/>
        </w:tc>
        <w:tc>
          <w:tcPr>
            <w:tcW w:type="dxa" w:w="9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" w:after="0"/>
              <w:ind w:left="10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special characteristics; faults related to software flashing and end-of-line programming.</w:t>
            </w:r>
          </w:p>
        </w:tc>
      </w:tr>
    </w:tbl>
    <w:p>
      <w:pPr>
        <w:autoSpaceDN w:val="0"/>
        <w:autoSpaceDE w:val="0"/>
        <w:widowControl/>
        <w:spacing w:line="240" w:lineRule="auto" w:before="11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d) installation faults;</w:t>
      </w:r>
    </w:p>
    <w:p>
      <w:pPr>
        <w:autoSpaceDN w:val="0"/>
        <w:tabs>
          <w:tab w:pos="1762" w:val="left"/>
        </w:tabs>
        <w:autoSpaceDE w:val="0"/>
        <w:widowControl/>
        <w:spacing w:line="245" w:lineRule="auto" w:before="166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Faults related to wiring harness routing; faults related to the interchangeability of parts; </w:t>
      </w:r>
      <w:r>
        <w:rPr>
          <w:rFonts w:ascii="Cambria" w:hAnsi="Cambria" w:eastAsia="Cambria"/>
          <w:b w:val="0"/>
          <w:i w:val="0"/>
          <w:color w:val="221F1F"/>
          <w:sz w:val="20"/>
        </w:rPr>
        <w:t>failures of adjacent items or elements.</w:t>
      </w:r>
    </w:p>
    <w:p>
      <w:pPr>
        <w:autoSpaceDN w:val="0"/>
        <w:autoSpaceDE w:val="0"/>
        <w:widowControl/>
        <w:spacing w:line="240" w:lineRule="auto" w:before="172" w:after="106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e) service faults;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27"/>
        <w:gridCol w:w="1227"/>
        <w:gridCol w:w="1227"/>
        <w:gridCol w:w="1227"/>
        <w:gridCol w:w="1227"/>
        <w:gridCol w:w="1227"/>
        <w:gridCol w:w="1227"/>
        <w:gridCol w:w="1227"/>
      </w:tblGrid>
      <w:tr>
        <w:trPr>
          <w:trHeight w:hRule="exact" w:val="274"/>
        </w:trPr>
        <w:tc>
          <w:tcPr>
            <w:tcW w:type="dxa" w:w="3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8" w:after="0"/>
              <w:ind w:left="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f)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EXAMPLE 5 </w:t>
            </w:r>
          </w:p>
        </w:tc>
        <w:tc>
          <w:tcPr>
            <w:tcW w:type="dxa" w:w="8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1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Faults related to processes, procedures and training; faults related to trouble-shooting; </w:t>
            </w:r>
          </w:p>
        </w:tc>
      </w:tr>
      <w:tr>
        <w:trPr>
          <w:trHeight w:hRule="exact" w:val="740"/>
        </w:trPr>
        <w:tc>
          <w:tcPr>
            <w:tcW w:type="dxa" w:w="1227"/>
            <w:vMerge/>
            <w:tcBorders/>
          </w:tcPr>
          <w:p/>
        </w:tc>
        <w:tc>
          <w:tcPr>
            <w:tcW w:type="dxa" w:w="9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auto" w:before="6" w:after="0"/>
              <w:ind w:left="100" w:right="144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faults related to the interchangeability of parts and faults due to backward incompatibility.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environmental factors;</w:t>
            </w:r>
          </w:p>
        </w:tc>
      </w:tr>
      <w:tr>
        <w:trPr>
          <w:trHeight w:hRule="exact" w:val="320"/>
        </w:trPr>
        <w:tc>
          <w:tcPr>
            <w:tcW w:type="dxa" w:w="1227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EXAMPLE 6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Temperature,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vibration,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pressure, 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humidity/condensation,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pollution,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12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corrosion, </w:t>
            </w:r>
          </w:p>
        </w:tc>
      </w:tr>
      <w:tr>
        <w:trPr>
          <w:trHeight w:hRule="exact" w:val="290"/>
        </w:trPr>
        <w:tc>
          <w:tcPr>
            <w:tcW w:type="dxa" w:w="1227"/>
            <w:vMerge/>
            <w:tcBorders/>
          </w:tcPr>
          <w:p/>
        </w:tc>
        <w:tc>
          <w:tcPr>
            <w:tcW w:type="dxa" w:w="9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contamination, EMC.</w:t>
            </w:r>
          </w:p>
        </w:tc>
      </w:tr>
    </w:tbl>
    <w:p>
      <w:pPr>
        <w:autoSpaceDN w:val="0"/>
        <w:autoSpaceDE w:val="0"/>
        <w:widowControl/>
        <w:spacing w:line="240" w:lineRule="auto" w:before="11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g) failures of common external resources or information;</w:t>
      </w:r>
    </w:p>
    <w:p>
      <w:pPr>
        <w:autoSpaceDN w:val="0"/>
        <w:tabs>
          <w:tab w:pos="1762" w:val="left"/>
        </w:tabs>
        <w:autoSpaceDE w:val="0"/>
        <w:widowControl/>
        <w:spacing w:line="242" w:lineRule="auto" w:before="164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7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Power supply, input data, inter-system data bus and communication.</w:t>
      </w:r>
    </w:p>
    <w:p>
      <w:pPr>
        <w:autoSpaceDN w:val="0"/>
        <w:autoSpaceDE w:val="0"/>
        <w:widowControl/>
        <w:spacing w:line="240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h) stress due to specific situations; and</w:t>
      </w:r>
    </w:p>
    <w:p>
      <w:pPr>
        <w:autoSpaceDN w:val="0"/>
        <w:tabs>
          <w:tab w:pos="1762" w:val="left"/>
        </w:tabs>
        <w:autoSpaceDE w:val="0"/>
        <w:widowControl/>
        <w:spacing w:line="245" w:lineRule="auto" w:before="166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8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High operational loads, extreme user inputs or requests from other systems, thermal impact, </w:t>
      </w:r>
      <w:r>
        <w:rPr>
          <w:rFonts w:ascii="Cambria" w:hAnsi="Cambria" w:eastAsia="Cambria"/>
          <w:b w:val="0"/>
          <w:i w:val="0"/>
          <w:color w:val="221F1F"/>
          <w:sz w:val="20"/>
        </w:rPr>
        <w:t>and mechanical shocks.</w:t>
      </w:r>
    </w:p>
    <w:p>
      <w:pPr>
        <w:autoSpaceDN w:val="0"/>
        <w:tabs>
          <w:tab w:pos="402" w:val="left"/>
        </w:tabs>
        <w:autoSpaceDE w:val="0"/>
        <w:widowControl/>
        <w:spacing w:line="240" w:lineRule="auto" w:before="17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ageing and wear.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82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7.4.5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Rationale for the plausibility of dependent failures and their impact shall be made available.</w:t>
      </w:r>
    </w:p>
    <w:p>
      <w:pPr>
        <w:autoSpaceDN w:val="0"/>
        <w:tabs>
          <w:tab w:pos="9490" w:val="left"/>
        </w:tabs>
        <w:autoSpaceDE w:val="0"/>
        <w:widowControl/>
        <w:spacing w:line="240" w:lineRule="auto" w:before="34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13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71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Plausible dependent failures are those for which the evaluation performed according to </w:t>
      </w:r>
      <w:r>
        <w:rPr>
          <w:rFonts w:ascii="Cambria" w:hAnsi="Cambria" w:eastAsia="Cambria"/>
          <w:b w:val="0"/>
          <w:i w:val="0"/>
          <w:color w:val="053BF5"/>
          <w:sz w:val="20"/>
          <w:u w:val="single"/>
        </w:rPr>
        <w:t>7.4.2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 has </w:t>
      </w:r>
      <w:r>
        <w:rPr>
          <w:rFonts w:ascii="Cambria" w:hAnsi="Cambria" w:eastAsia="Cambria"/>
          <w:b w:val="0"/>
          <w:i w:val="0"/>
          <w:color w:val="221F1F"/>
          <w:sz w:val="20"/>
        </w:rPr>
        <w:t>revealed a reasonably foreseeable cause.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7.4.6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Measures for the resolution of plausible dependent failures shall be specified during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>development phase, in accordance with the change management in ISO 26262-8:2018, Clause 8.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7.4.7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Measures for the resolution of plausible dependent failures shall include the measures for </w:t>
      </w:r>
      <w:r>
        <w:rPr>
          <w:rFonts w:ascii="Cambria" w:hAnsi="Cambria" w:eastAsia="Cambria"/>
          <w:b w:val="0"/>
          <w:i w:val="0"/>
          <w:color w:val="221F1F"/>
          <w:sz w:val="22"/>
        </w:rPr>
        <w:t>preventing their root causes, or for controlling their effects, or for reducing the coupling factors.</w:t>
      </w:r>
    </w:p>
    <w:p>
      <w:pPr>
        <w:autoSpaceDN w:val="0"/>
        <w:tabs>
          <w:tab w:pos="1338" w:val="left"/>
        </w:tabs>
        <w:autoSpaceDE w:val="0"/>
        <w:widowControl/>
        <w:spacing w:line="240" w:lineRule="auto" w:before="18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EXAMPLE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Diversity is a measure that can be used to prevent, reduce or detect common cause failures.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7.4.8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analysis of dependent failures shall have a level of detail and rigor suitable to demonstrate </w:t>
      </w:r>
      <w:r>
        <w:rPr>
          <w:rFonts w:ascii="Cambria" w:hAnsi="Cambria" w:eastAsia="Cambria"/>
          <w:b w:val="0"/>
          <w:i w:val="0"/>
          <w:color w:val="221F1F"/>
          <w:sz w:val="22"/>
        </w:rPr>
        <w:t>the achievement of the required level of independence or freedom from interference.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Criteria that can be used to justify the suitability with respect to depth and rigor of a performed </w:t>
      </w:r>
      <w:r>
        <w:rPr>
          <w:rFonts w:ascii="Cambria" w:hAnsi="Cambria" w:eastAsia="Cambria"/>
          <w:b w:val="0"/>
          <w:i w:val="0"/>
          <w:color w:val="221F1F"/>
          <w:sz w:val="20"/>
        </w:rPr>
        <w:t>analysis of dependent failures include: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>— the ASIL;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>— the degree of independence between elements required in the safety concept;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>— the product complexity;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>— the technology; and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>— the number and degree of adverse environmental and other stress factors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7.4.9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analysis of dependent failures shall be verified in accordance with ISO 26262-8:2018,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Clause 9.</w:t>
      </w:r>
    </w:p>
    <w:p>
      <w:pPr>
        <w:autoSpaceDN w:val="0"/>
        <w:autoSpaceDE w:val="0"/>
        <w:widowControl/>
        <w:spacing w:line="240" w:lineRule="auto" w:before="29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7.5 Work products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7.5.1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Dependent Failures Analysis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resulting from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7.4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7.5.2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Dependent Failures Analysis Verification Report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resulting from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7.4.9</w:t>
      </w:r>
      <w:r>
        <w:rPr>
          <w:rFonts w:ascii="Cambria" w:hAnsi="Cambria" w:eastAsia="Cambria"/>
          <w:b w:val="0"/>
          <w:i w:val="0"/>
          <w:color w:val="221F1F"/>
          <w:sz w:val="22"/>
        </w:rPr>
        <w:t>.</w:t>
      </w:r>
    </w:p>
    <w:p>
      <w:pPr>
        <w:autoSpaceDN w:val="0"/>
        <w:autoSpaceDE w:val="0"/>
        <w:widowControl/>
        <w:spacing w:line="240" w:lineRule="auto" w:before="38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8 Safety analyses</w:t>
      </w:r>
    </w:p>
    <w:p>
      <w:pPr>
        <w:autoSpaceDN w:val="0"/>
        <w:autoSpaceDE w:val="0"/>
        <w:widowControl/>
        <w:spacing w:line="240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8.1 Objectives</w:t>
      </w:r>
    </w:p>
    <w:p>
      <w:pPr>
        <w:autoSpaceDN w:val="0"/>
        <w:autoSpaceDE w:val="0"/>
        <w:widowControl/>
        <w:spacing w:line="245" w:lineRule="auto" w:before="17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objective of safety analyses is to ensure that the risk of a safety goal violation due to systematic </w:t>
      </w:r>
      <w:r>
        <w:rPr>
          <w:rFonts w:ascii="Cambria" w:hAnsi="Cambria" w:eastAsia="Cambria"/>
          <w:b w:val="0"/>
          <w:i w:val="0"/>
          <w:color w:val="221F1F"/>
          <w:sz w:val="22"/>
        </w:rPr>
        <w:t>faults or random hardware faults is sufficiently low. Depending on the application, this is achieved by: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identifying new hazards not previously identified during the hazard analysis and risk assessment;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identifying faults, or failures, that can lead to the violation of a safety goal, or a safety requirement,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respectively;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identifying their potential causes;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supporting the definition of safety measures for fault prevention, or fault control, respectively;</w:t>
      </w:r>
    </w:p>
    <w:p>
      <w:pPr>
        <w:autoSpaceDN w:val="0"/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providing evidence for the suitability of safety concepts; and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supporting the verification of safety concepts, safety requirements, and the identification of design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 and test requirements.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03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14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48" w:bottom="258" w:left="738" w:header="720" w:footer="720" w:gutter="0"/>
          <w:cols w:space="720" w:num="1" w:equalWidth="0"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71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In the ISO 26262 series of standards, systematic faults are not analysed with a probability of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occurrence. However, the measures against systematic faults contribute to the reduction of the overall risk of </w:t>
      </w:r>
      <w:r>
        <w:rPr>
          <w:rFonts w:ascii="Cambria" w:hAnsi="Cambria" w:eastAsia="Cambria"/>
          <w:b w:val="0"/>
          <w:i w:val="0"/>
          <w:color w:val="221F1F"/>
          <w:sz w:val="20"/>
        </w:rPr>
        <w:t>safety goal or safety requirement violation.</w:t>
      </w:r>
    </w:p>
    <w:p>
      <w:pPr>
        <w:autoSpaceDN w:val="0"/>
        <w:tabs>
          <w:tab w:pos="402" w:val="left"/>
        </w:tabs>
        <w:autoSpaceDE w:val="0"/>
        <w:widowControl/>
        <w:spacing w:line="346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 xml:space="preserve">8.2 General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The scope of the safety analyses includes: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the validation of safety goals and safety concepts;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the verification of safety concepts and safety requirements;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identification of conditions and causes, including faults and failures, that could lead to the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violation of a safety goal or safety requirement;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the identification of additional safety requirements for detection of faults or failures;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the determination of the required responses (actions/measures) to detected faults or failures; and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identification of additional measures for verifying that the safety goals or safety requirements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are complied with, including safety-related vehicle testing.</w:t>
      </w:r>
    </w:p>
    <w:p>
      <w:pPr>
        <w:autoSpaceDN w:val="0"/>
        <w:autoSpaceDE w:val="0"/>
        <w:widowControl/>
        <w:spacing w:line="245" w:lineRule="auto" w:before="170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Safety analyses are performed at the appropriate level of abstraction during the concept and product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 phases. Quantitative analysis methods predict the frequency of failures while qualitative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analysis methods identify failures but do not predict the frequency of failures. Both types of analysis </w:t>
      </w:r>
      <w:r>
        <w:rPr>
          <w:rFonts w:ascii="Cambria" w:hAnsi="Cambria" w:eastAsia="Cambria"/>
          <w:b w:val="0"/>
          <w:i w:val="0"/>
          <w:color w:val="221F1F"/>
          <w:sz w:val="22"/>
        </w:rPr>
        <w:t>methods depend upon a knowledge of the relevant fault types and fault models.</w:t>
      </w:r>
    </w:p>
    <w:p>
      <w:pPr>
        <w:autoSpaceDN w:val="0"/>
        <w:autoSpaceDE w:val="0"/>
        <w:widowControl/>
        <w:spacing w:line="365" w:lineRule="auto" w:before="168" w:after="0"/>
        <w:ind w:left="0" w:right="4464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Qualitative analysis methods include: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qualitative FMEA at system, design or process level;</w:t>
      </w:r>
      <w:r>
        <w:rPr>
          <w:rFonts w:ascii="Cambria" w:hAnsi="Cambria" w:eastAsia="Cambria"/>
          <w:b w:val="0"/>
          <w:i w:val="0"/>
          <w:color w:val="221F1F"/>
          <w:sz w:val="22"/>
        </w:rPr>
        <w:t>— qualitative FTA;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HAZOP; and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qualitative ETA.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qualitative analysis methods listed above can be applied to software where no more appropriate </w:t>
      </w:r>
      <w:r>
        <w:rPr>
          <w:rFonts w:ascii="Cambria" w:hAnsi="Cambria" w:eastAsia="Cambria"/>
          <w:b w:val="0"/>
          <w:i w:val="0"/>
          <w:color w:val="221F1F"/>
          <w:sz w:val="20"/>
        </w:rPr>
        <w:t>software-specific analysis methods exist.</w:t>
      </w:r>
    </w:p>
    <w:p>
      <w:pPr>
        <w:autoSpaceDN w:val="0"/>
        <w:autoSpaceDE w:val="0"/>
        <w:widowControl/>
        <w:spacing w:line="245" w:lineRule="auto" w:before="172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Quantitative safety analyses complement qualitative safety analyses. They are used to verify a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hardware design against defined targets for the evaluation of the hardware architectural metrics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and the evaluation of safety goal violations due to random hardware failures (see ISO 26262-5:2018,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Clause 8 and Clause 9). Quantitative safety analyses require additional knowledge of the quantitative </w:t>
      </w:r>
      <w:r>
        <w:rPr>
          <w:rFonts w:ascii="Cambria" w:hAnsi="Cambria" w:eastAsia="Cambria"/>
          <w:b w:val="0"/>
          <w:i w:val="0"/>
          <w:color w:val="221F1F"/>
          <w:sz w:val="22"/>
        </w:rPr>
        <w:t>failure rates of the hardware elements.</w:t>
      </w:r>
    </w:p>
    <w:p>
      <w:pPr>
        <w:autoSpaceDN w:val="0"/>
        <w:autoSpaceDE w:val="0"/>
        <w:widowControl/>
        <w:spacing w:line="370" w:lineRule="auto" w:before="168" w:after="0"/>
        <w:ind w:left="0" w:right="6048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Quantitative analysis methods include: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quantitative FMEA;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quantitative FTA;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quantitative ETA;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Markov models; and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>— reliability block diagrams.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quantitative analysis methods only address random hardware failures. These analysis methods </w:t>
      </w:r>
      <w:r>
        <w:rPr>
          <w:rFonts w:ascii="Cambria" w:hAnsi="Cambria" w:eastAsia="Cambria"/>
          <w:b w:val="0"/>
          <w:i w:val="0"/>
          <w:color w:val="221F1F"/>
          <w:sz w:val="20"/>
        </w:rPr>
        <w:t>are not applied to systematic failures in the ISO 26262 series of standards.</w:t>
      </w:r>
    </w:p>
    <w:p>
      <w:pPr>
        <w:autoSpaceDN w:val="0"/>
        <w:tabs>
          <w:tab w:pos="9490" w:val="left"/>
        </w:tabs>
        <w:autoSpaceDE w:val="0"/>
        <w:widowControl/>
        <w:spacing w:line="240" w:lineRule="auto" w:before="116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15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Another way to classify the safety analyses is by the way they are conducted: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inductive analysis methods are bottom-up methods that start from known causes and identify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possible effects;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deductive analysis methods are top-down methods that start from known effects and seek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possible causes.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Inductive analyses and deductive analyses complement each other and therefore increase the coverage </w:t>
      </w:r>
      <w:r>
        <w:rPr>
          <w:rFonts w:ascii="Cambria" w:hAnsi="Cambria" w:eastAsia="Cambria"/>
          <w:b w:val="0"/>
          <w:i w:val="0"/>
          <w:color w:val="221F1F"/>
          <w:sz w:val="22"/>
        </w:rPr>
        <w:t>of their result.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FMEA and ETA are typically performed inductively, whereas FTA and reliability block diagram </w:t>
      </w:r>
      <w:r>
        <w:rPr>
          <w:rFonts w:ascii="Cambria" w:hAnsi="Cambria" w:eastAsia="Cambria"/>
          <w:b w:val="0"/>
          <w:i w:val="0"/>
          <w:color w:val="221F1F"/>
          <w:sz w:val="20"/>
        </w:rPr>
        <w:t>analyses are typically performed deductively.</w:t>
      </w:r>
    </w:p>
    <w:p>
      <w:pPr>
        <w:autoSpaceDN w:val="0"/>
        <w:autoSpaceDE w:val="0"/>
        <w:widowControl/>
        <w:spacing w:line="245" w:lineRule="auto" w:before="17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A further classification of safety analyses is whether the chosen method is capable of identifying single-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point or multiple-point faults in order to address latent faults according to ISO 26262-4:2018, 6.4.2,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26262-5:2018, 7.4.3.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8.3 Inputs to this clause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8.3.1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Prerequisites</w:t>
      </w:r>
    </w:p>
    <w:p>
      <w:pPr>
        <w:autoSpaceDN w:val="0"/>
        <w:autoSpaceDE w:val="0"/>
        <w:widowControl/>
        <w:spacing w:line="238" w:lineRule="auto" w:before="18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shall be available:</w:t>
      </w:r>
    </w:p>
    <w:p>
      <w:pPr>
        <w:autoSpaceDN w:val="0"/>
        <w:autoSpaceDE w:val="0"/>
        <w:widowControl/>
        <w:spacing w:line="245" w:lineRule="auto" w:before="170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safety requirements at the level at which the safety analysis is to be performed: system, hardware,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or software in accordance with ISO 26262-3:2018, 7.5.1, ISO 26262-4:2018, 6.5.1, ISO 26262-5:2018,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6.5.1, or ISO 26262-6:2018, 6.5.1; and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the architectural information of the element at the level at which the safety analysis is to be performed: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hardware, or software in accordance with ISO 26262-4:2018, 7.5.2, ISO 26262-5:2018, 7.5.1, </w:t>
      </w:r>
      <w:r>
        <w:rPr>
          <w:rFonts w:ascii="Cambria" w:hAnsi="Cambria" w:eastAsia="Cambria"/>
          <w:b w:val="0"/>
          <w:i w:val="0"/>
          <w:color w:val="221F1F"/>
          <w:sz w:val="22"/>
        </w:rPr>
        <w:t>or ISO 26262-6:2018, 7.5.1.</w:t>
      </w:r>
    </w:p>
    <w:p>
      <w:pPr>
        <w:autoSpaceDN w:val="0"/>
        <w:tabs>
          <w:tab w:pos="1366" w:val="left"/>
        </w:tabs>
        <w:autoSpaceDE w:val="0"/>
        <w:widowControl/>
        <w:spacing w:line="240" w:lineRule="auto" w:before="182" w:after="0"/>
        <w:ind w:left="402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The architectural information is used to determine the boundaries of the safety analyses.</w:t>
      </w:r>
    </w:p>
    <w:p>
      <w:pPr>
        <w:autoSpaceDN w:val="0"/>
        <w:tabs>
          <w:tab w:pos="764" w:val="left"/>
        </w:tabs>
        <w:autoSpaceDE w:val="0"/>
        <w:widowControl/>
        <w:spacing w:line="240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8.3.2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Further supporting information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The following information can be considered: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fault models (from external sources).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8.4 Requirements and recommendations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safety analyses shall be performed in accordance with appropriate standards or guidelines </w:t>
      </w:r>
      <w:r>
        <w:rPr>
          <w:rFonts w:ascii="Cambria" w:hAnsi="Cambria" w:eastAsia="Cambria"/>
          <w:b w:val="0"/>
          <w:i w:val="0"/>
          <w:color w:val="221F1F"/>
          <w:sz w:val="22"/>
        </w:rPr>
        <w:t>and the defined objectives, for instance in the safety plan.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level of detail of the analysis is appropriate to the level of detail of the design. The fault models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depend on the description level of the design on which the analysis is based (System, Hardware, Software), and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on the safety requirements being implemented. For semiconductor failure modes, ISO 26262-11:2018, 4.3.2 can </w:t>
      </w:r>
      <w:r>
        <w:rPr>
          <w:rFonts w:ascii="Cambria" w:hAnsi="Cambria" w:eastAsia="Cambria"/>
          <w:b w:val="0"/>
          <w:i w:val="0"/>
          <w:color w:val="221F1F"/>
          <w:sz w:val="20"/>
        </w:rPr>
        <w:t>be considered.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Such standards and guidelines can include criteria for defining the depth and rigor of a safety analysis. </w:t>
      </w:r>
      <w:r>
        <w:rPr>
          <w:rFonts w:ascii="Cambria" w:hAnsi="Cambria" w:eastAsia="Cambria"/>
          <w:b w:val="0"/>
          <w:i w:val="0"/>
          <w:color w:val="221F1F"/>
          <w:sz w:val="20"/>
        </w:rPr>
        <w:t>These criteria can depend on the ASIL, complexity or experiences with a specific item, and its field of application.</w:t>
      </w:r>
    </w:p>
    <w:p>
      <w:pPr>
        <w:autoSpaceDN w:val="0"/>
        <w:tabs>
          <w:tab w:pos="962" w:val="left"/>
        </w:tabs>
        <w:autoSpaceDE w:val="0"/>
        <w:widowControl/>
        <w:spacing w:line="245" w:lineRule="auto" w:before="18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objectives and scope of the safety analyses depend on the sub-phase and the level of granularity </w:t>
      </w:r>
      <w:r>
        <w:rPr>
          <w:rFonts w:ascii="Cambria" w:hAnsi="Cambria" w:eastAsia="Cambria"/>
          <w:b w:val="0"/>
          <w:i w:val="0"/>
          <w:color w:val="221F1F"/>
          <w:sz w:val="20"/>
        </w:rPr>
        <w:t>at which it is applied.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results of the safety analyses shall indicate if the respective safety goals or safety </w:t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 are complied with or not.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86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16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71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8.4.3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 safety goal or a safety requirement is not complied with, the results of the safety analyses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shall be used for deriving prevention, detection, or effect mitigation measures regarding the faults or </w:t>
      </w:r>
      <w:r>
        <w:rPr>
          <w:rFonts w:ascii="Cambria" w:hAnsi="Cambria" w:eastAsia="Cambria"/>
          <w:b w:val="0"/>
          <w:i w:val="0"/>
          <w:color w:val="221F1F"/>
          <w:sz w:val="22"/>
        </w:rPr>
        <w:t>failures causing the violation.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measures derived from the safety analyses shall be implemented as part of the product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development at the system level, at the hardware level, or at the software level, in accordance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26262-4, or ISO 26262-5, or ISO 26262-6 respectively</w:t>
      </w:r>
      <w:r>
        <w:rPr>
          <w:rFonts w:ascii="Cambria" w:hAnsi="Cambria" w:eastAsia="Cambria"/>
          <w:b w:val="0"/>
          <w:i/>
          <w:color w:val="221F1F"/>
          <w:sz w:val="22"/>
        </w:rPr>
        <w:t>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8.4.5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Hazards newly identified by safety analyses during product development which are not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already covered shall be included in an updated hazard analysis and risk assessment according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to ISO 26262-3:2018, Clause 6. The corresponding changes shall be managed in accordance with </w:t>
      </w:r>
      <w:r>
        <w:rPr>
          <w:rFonts w:ascii="Cambria" w:hAnsi="Cambria" w:eastAsia="Cambria"/>
          <w:b w:val="0"/>
          <w:i w:val="0"/>
          <w:color w:val="221F1F"/>
          <w:sz w:val="22"/>
        </w:rPr>
        <w:t>ISO 26262-8:2018, Clause 8.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8.4.6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fault models used for the safety analyses shall be suitable for the level of detail being analysed </w:t>
      </w:r>
      <w:r>
        <w:rPr>
          <w:rFonts w:ascii="Cambria" w:hAnsi="Cambria" w:eastAsia="Cambria"/>
          <w:b w:val="0"/>
          <w:i w:val="0"/>
          <w:color w:val="221F1F"/>
          <w:sz w:val="22"/>
        </w:rPr>
        <w:t>in a given development sub-phase and shall be used consistently within that sub-phase.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9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1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Sub-phases include hardware design, evaluation of the hardware architectural metrics and evaluation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of safety goal violations due to random hardware failures in ISO 26262-5, or software architectural design in </w:t>
      </w:r>
      <w:r>
        <w:rPr>
          <w:rFonts w:ascii="Cambria" w:hAnsi="Cambria" w:eastAsia="Cambria"/>
          <w:b w:val="0"/>
          <w:i w:val="0"/>
          <w:color w:val="221F1F"/>
          <w:sz w:val="20"/>
        </w:rPr>
        <w:t>accordance with ISO 26262-6.</w:t>
      </w:r>
    </w:p>
    <w:p>
      <w:pPr>
        <w:autoSpaceDN w:val="0"/>
        <w:tabs>
          <w:tab w:pos="964" w:val="left"/>
        </w:tabs>
        <w:autoSpaceDE w:val="0"/>
        <w:widowControl/>
        <w:spacing w:line="240" w:lineRule="auto" w:before="18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>For the safety analyses at software architectural level, see ISO 26262-6:2018, Annex E.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8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8.4.7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Additional safety-related test cases shall be determined by using the fault models and the results </w:t>
      </w:r>
      <w:r>
        <w:rPr>
          <w:rFonts w:ascii="Cambria" w:hAnsi="Cambria" w:eastAsia="Cambria"/>
          <w:b w:val="0"/>
          <w:i w:val="0"/>
          <w:color w:val="221F1F"/>
          <w:sz w:val="22"/>
        </w:rPr>
        <w:t>of the safety analyses, if necessary.</w:t>
      </w:r>
    </w:p>
    <w:p>
      <w:pPr>
        <w:autoSpaceDN w:val="0"/>
        <w:tabs>
          <w:tab w:pos="736" w:val="left"/>
        </w:tabs>
        <w:autoSpaceDE w:val="0"/>
        <w:widowControl/>
        <w:spacing w:line="245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8.4.8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 safety analyses and their outcomes shall be verified in accordance with ISO 26262-8:2018,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Clause 9.</w:t>
      </w:r>
    </w:p>
    <w:p>
      <w:pPr>
        <w:autoSpaceDN w:val="0"/>
        <w:tabs>
          <w:tab w:pos="736" w:val="left"/>
        </w:tabs>
        <w:autoSpaceDE w:val="0"/>
        <w:widowControl/>
        <w:spacing w:line="240" w:lineRule="auto" w:before="296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8.4.9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The qualitative safety analyses shall include: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a systematic identification of faults or failures that could lead to the violation of safety goals or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safety requirements, originating in:</w:t>
      </w:r>
    </w:p>
    <w:p>
      <w:pPr>
        <w:autoSpaceDN w:val="0"/>
        <w:autoSpaceDE w:val="0"/>
        <w:widowControl/>
        <w:spacing w:line="240" w:lineRule="auto" w:before="168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the item or element itself;</w:t>
      </w:r>
    </w:p>
    <w:p>
      <w:pPr>
        <w:autoSpaceDN w:val="0"/>
        <w:autoSpaceDE w:val="0"/>
        <w:widowControl/>
        <w:spacing w:line="240" w:lineRule="auto" w:before="170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the interaction of the item or element with other items or elements; and</w:t>
      </w:r>
    </w:p>
    <w:p>
      <w:pPr>
        <w:autoSpaceDN w:val="0"/>
        <w:autoSpaceDE w:val="0"/>
        <w:widowControl/>
        <w:spacing w:line="240" w:lineRule="auto" w:before="168" w:after="0"/>
        <w:ind w:left="396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the usage of the item or element.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the evaluation of the consequences of each identified fault to determine the potential to violate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safety goals or safety requirements;</w:t>
      </w:r>
    </w:p>
    <w:p>
      <w:pPr>
        <w:autoSpaceDN w:val="0"/>
        <w:tabs>
          <w:tab w:pos="402" w:val="left"/>
        </w:tabs>
        <w:autoSpaceDE w:val="0"/>
        <w:widowControl/>
        <w:spacing w:line="240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c)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the identification of the causes of each identified fault; and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d) the identification, or the support for the identification, of potential safety concept weaknesses,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including the ineffectiveness of safety mechanisms in handling anomalies such as latent faults, </w:t>
      </w:r>
      <w:r>
        <w:rPr>
          <w:rFonts w:ascii="Cambria" w:hAnsi="Cambria" w:eastAsia="Cambria"/>
          <w:b w:val="0"/>
          <w:i w:val="0"/>
          <w:color w:val="221F1F"/>
          <w:sz w:val="22"/>
        </w:rPr>
        <w:t>multiple-point faults, common cause failures and cascading failures.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18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interactions with other items or elements, internal and external to the item, are examined to </w:t>
      </w:r>
      <w:r>
        <w:rPr>
          <w:rFonts w:ascii="Cambria" w:hAnsi="Cambria" w:eastAsia="Cambria"/>
          <w:b w:val="0"/>
          <w:i w:val="0"/>
          <w:color w:val="221F1F"/>
          <w:sz w:val="20"/>
        </w:rPr>
        <w:t>assess the degree of independence and interference.</w:t>
      </w:r>
    </w:p>
    <w:p>
      <w:pPr>
        <w:autoSpaceDN w:val="0"/>
        <w:autoSpaceDE w:val="0"/>
        <w:widowControl/>
        <w:spacing w:line="245" w:lineRule="auto" w:before="28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8.4.10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quantitative safety analyses are used to complement the qualitative safety analyses, then they </w:t>
      </w:r>
      <w:r>
        <w:rPr>
          <w:rFonts w:ascii="Cambria" w:hAnsi="Cambria" w:eastAsia="Cambria"/>
          <w:b w:val="0"/>
          <w:i w:val="0"/>
          <w:color w:val="221F1F"/>
          <w:sz w:val="22"/>
        </w:rPr>
        <w:t>shall include:</w:t>
      </w:r>
    </w:p>
    <w:p>
      <w:pPr>
        <w:autoSpaceDN w:val="0"/>
        <w:autoSpaceDE w:val="0"/>
        <w:widowControl/>
        <w:spacing w:line="245" w:lineRule="auto" w:before="182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a) the quantitative data to support the evaluation of the hardware architectural metrics and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evaluation of safety goal violations due to random hardware failures (see ISO 26262-5:2018, </w:t>
      </w:r>
      <w:r>
        <w:rPr>
          <w:rFonts w:ascii="Cambria" w:hAnsi="Cambria" w:eastAsia="Cambria"/>
          <w:b w:val="0"/>
          <w:i w:val="0"/>
          <w:color w:val="221F1F"/>
          <w:sz w:val="22"/>
        </w:rPr>
        <w:t>Clause 8 and Clause 9);</w:t>
      </w:r>
    </w:p>
    <w:p>
      <w:pPr>
        <w:autoSpaceDN w:val="0"/>
        <w:tabs>
          <w:tab w:pos="9490" w:val="left"/>
        </w:tabs>
        <w:autoSpaceDE w:val="0"/>
        <w:widowControl/>
        <w:spacing w:line="240" w:lineRule="auto" w:before="80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17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tabs>
          <w:tab w:pos="402" w:val="left"/>
        </w:tabs>
        <w:autoSpaceDE w:val="0"/>
        <w:widowControl/>
        <w:spacing w:line="245" w:lineRule="auto" w:before="714" w:after="11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b) a systematic identification of faults or failures that could lead to violation of safety goals or safety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requirements;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09"/>
        <w:gridCol w:w="4909"/>
      </w:tblGrid>
      <w:tr>
        <w:trPr>
          <w:trHeight w:hRule="exact" w:val="620"/>
        </w:trPr>
        <w:tc>
          <w:tcPr>
            <w:tcW w:type="dxa" w:w="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c) </w:t>
            </w:r>
          </w:p>
        </w:tc>
        <w:tc>
          <w:tcPr>
            <w:tcW w:type="dxa" w:w="9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0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the evaluation and ranking of the potential safety concept weaknesses, including the ineffectiveness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of safety mechanisms; and</w:t>
            </w:r>
          </w:p>
        </w:tc>
      </w:tr>
    </w:tbl>
    <w:p>
      <w:pPr>
        <w:autoSpaceDN w:val="0"/>
        <w:tabs>
          <w:tab w:pos="402" w:val="left"/>
        </w:tabs>
        <w:autoSpaceDE w:val="0"/>
        <w:widowControl/>
        <w:spacing w:line="245" w:lineRule="auto" w:before="10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d) the diagnostic test time interval, the emergency operation time interval, and the time between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fault detection and repair.</w:t>
      </w:r>
    </w:p>
    <w:p>
      <w:pPr>
        <w:autoSpaceDN w:val="0"/>
        <w:autoSpaceDE w:val="0"/>
        <w:widowControl/>
        <w:spacing w:line="240" w:lineRule="auto" w:before="284" w:after="23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8.5 Work products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273"/>
        <w:gridCol w:w="3273"/>
        <w:gridCol w:w="3273"/>
      </w:tblGrid>
      <w:tr>
        <w:trPr>
          <w:trHeight w:hRule="exact" w:val="464"/>
        </w:trPr>
        <w:tc>
          <w:tcPr>
            <w:tcW w:type="dxa" w:w="6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8.5.1 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1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Safety analyses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, resulting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2"/>
                <w:u w:val="single"/>
              </w:rPr>
              <w:t>8.4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.</w:t>
            </w:r>
          </w:p>
        </w:tc>
        <w:tc>
          <w:tcPr>
            <w:tcW w:type="dxa" w:w="3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04" w:after="0"/>
              <w:ind w:left="57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© ISO 2018 – All rights reserved</w:t>
            </w:r>
          </w:p>
        </w:tc>
      </w:tr>
      <w:tr>
        <w:trPr>
          <w:trHeight w:hRule="exact" w:val="5840"/>
        </w:trPr>
        <w:tc>
          <w:tcPr>
            <w:tcW w:type="dxa" w:w="6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8.5.2 </w:t>
            </w:r>
          </w:p>
        </w:tc>
        <w:tc>
          <w:tcPr>
            <w:tcW w:type="dxa" w:w="6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11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Safety analyses</w:t>
            </w: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verification report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, resulting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2"/>
                <w:u w:val="single"/>
              </w:rPr>
              <w:t>8.4.8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.</w:t>
            </w:r>
          </w:p>
        </w:tc>
        <w:tc>
          <w:tcPr>
            <w:tcW w:type="dxa" w:w="3273"/>
            <w:vMerge/>
            <w:tcBorders/>
          </w:tcPr>
          <w:p/>
        </w:tc>
      </w:tr>
      <w:tr>
        <w:trPr>
          <w:trHeight w:hRule="exact" w:val="5700"/>
        </w:trPr>
        <w:tc>
          <w:tcPr>
            <w:tcW w:type="dxa" w:w="6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62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 xml:space="preserve">18 </w:t>
            </w:r>
          </w:p>
        </w:tc>
        <w:tc>
          <w:tcPr>
            <w:tcW w:type="dxa" w:w="3273"/>
            <w:vMerge/>
            <w:tcBorders/>
          </w:tcPr>
          <w:p/>
        </w:tc>
        <w:tc>
          <w:tcPr>
            <w:tcW w:type="dxa" w:w="327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698" w:after="0"/>
        <w:ind w:left="3888" w:right="3888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Annex A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32"/>
        </w:rPr>
        <w:t xml:space="preserve">(informative) </w:t>
      </w:r>
    </w:p>
    <w:p>
      <w:pPr>
        <w:autoSpaceDN w:val="0"/>
        <w:autoSpaceDE w:val="0"/>
        <w:widowControl/>
        <w:spacing w:line="245" w:lineRule="auto" w:before="330" w:after="0"/>
        <w:ind w:left="288" w:right="288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Overview of and document flow of Automotive Safety Integrity </w:t>
      </w:r>
      <w:r>
        <w:rPr>
          <w:rFonts w:ascii="Cambria" w:hAnsi="Cambria" w:eastAsia="Cambria"/>
          <w:b/>
          <w:i w:val="0"/>
          <w:color w:val="221F1F"/>
          <w:sz w:val="32"/>
        </w:rPr>
        <w:t>Level (ASIL)-oriented and safety-oriented analyses</w:t>
      </w:r>
    </w:p>
    <w:p>
      <w:pPr>
        <w:autoSpaceDN w:val="0"/>
        <w:autoSpaceDE w:val="0"/>
        <w:widowControl/>
        <w:spacing w:line="245" w:lineRule="auto" w:before="756" w:after="0"/>
        <w:ind w:left="10" w:right="0" w:firstLine="0"/>
        <w:jc w:val="left"/>
      </w:pP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Table A.1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provides an overview of objectives, prerequisites and work products of ASIL-oriented and </w:t>
      </w:r>
      <w:r>
        <w:rPr>
          <w:rFonts w:ascii="Cambria" w:hAnsi="Cambria" w:eastAsia="Cambria"/>
          <w:b w:val="0"/>
          <w:i w:val="0"/>
          <w:color w:val="221F1F"/>
          <w:sz w:val="22"/>
        </w:rPr>
        <w:t>safety-oriented analyses.</w:t>
      </w:r>
    </w:p>
    <w:p>
      <w:pPr>
        <w:autoSpaceDN w:val="0"/>
        <w:autoSpaceDE w:val="0"/>
        <w:widowControl/>
        <w:spacing w:line="240" w:lineRule="auto" w:before="282" w:after="144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Table A.1 — Overview of and document flow of ASIL-oriented and safety-oriented analyses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457"/>
        <w:gridCol w:w="2457"/>
        <w:gridCol w:w="2457"/>
        <w:gridCol w:w="2457"/>
      </w:tblGrid>
      <w:tr>
        <w:trPr>
          <w:trHeight w:hRule="exact" w:val="304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Clause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Objectives</w:t>
            </w:r>
          </w:p>
        </w:tc>
        <w:tc>
          <w:tcPr>
            <w:tcW w:type="dxa" w:w="295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Prerequisites</w:t>
            </w:r>
          </w:p>
        </w:tc>
        <w:tc>
          <w:tcPr>
            <w:tcW w:type="dxa" w:w="2478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Work products</w:t>
            </w:r>
          </w:p>
        </w:tc>
      </w:tr>
      <w:tr>
        <w:trPr>
          <w:trHeight w:hRule="exact" w:val="4888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3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 xml:space="preserve">5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Requirements de-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composition with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respect to ASIL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tailoring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202"/>
              <w:ind w:left="4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If ASIL decomposition is ap-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plied, the objectives of this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Clause are: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.999999999999886" w:type="dxa"/>
            </w:tblPr>
            <w:tblGrid>
              <w:gridCol w:w="1299"/>
              <w:gridCol w:w="1299"/>
            </w:tblGrid>
            <w:tr>
              <w:trPr>
                <w:trHeight w:hRule="exact" w:val="3600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a)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215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b) </w:t>
                  </w:r>
                </w:p>
              </w:tc>
              <w:tc>
                <w:tcPr>
                  <w:tcW w:type="dxa" w:w="2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60" w:after="0"/>
                    <w:ind w:left="92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to ensure that a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safety requirement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is decomposed into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redundant safety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requirements at the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next level of detail,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and that these are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allocated to sufficiently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independent design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elements; and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70" w:after="0"/>
                    <w:ind w:left="92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to apply ASIL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decomposition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according to permitted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ASIL decomposition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schemas.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5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safety requirements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the level at which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ASIL decomposition is to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be applied: vehicle, system,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hardware, or software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 accordance with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26262-3:2018, 7.5.1,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26262-4:2018, 6.5.1,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26262-5:2018, 6.5.1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26262-6:2018, 6.5.1; and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architectural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information at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level at which the ASIL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decomposition is to be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applied: vehicle, system,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hardware, or software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 accordance with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26262-3:2018, 7.5.1,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26262-4:2018, 6.5.3,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26262-5:2018, 7.5.1,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26262-6:2018, 7.5.1.</w:t>
            </w:r>
          </w:p>
        </w:tc>
        <w:tc>
          <w:tcPr>
            <w:tcW w:type="dxa" w:w="2478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0" w:right="144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5.5.1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Update of architec-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tural information, result-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5.4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45" w:lineRule="auto" w:before="100" w:after="0"/>
              <w:ind w:left="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5.5.2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Update of ASIL as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attribute of safety re-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quirements and elements,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5.4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.</w:t>
            </w:r>
          </w:p>
        </w:tc>
      </w:tr>
    </w:tbl>
    <w:p>
      <w:pPr>
        <w:autoSpaceDN w:val="0"/>
        <w:tabs>
          <w:tab w:pos="9500" w:val="left"/>
        </w:tabs>
        <w:autoSpaceDE w:val="0"/>
        <w:widowControl/>
        <w:spacing w:line="240" w:lineRule="auto" w:before="5482" w:after="0"/>
        <w:ind w:left="1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19</w:t>
      </w:r>
    </w:p>
    <w:p>
      <w:pPr>
        <w:sectPr>
          <w:pgSz w:w="11906" w:h="16838"/>
          <w:pgMar w:top="334" w:right="668" w:bottom="258" w:left="1408" w:header="720" w:footer="720" w:gutter="0"/>
          <w:cols w:space="720" w:num="1" w:equalWidth="0"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12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Table A.1 </w:t>
      </w:r>
      <w:r>
        <w:rPr>
          <w:rFonts w:ascii="Cambria" w:hAnsi="Cambria" w:eastAsia="Cambria"/>
          <w:b w:val="0"/>
          <w:i/>
          <w:color w:val="221F1F"/>
          <w:sz w:val="22"/>
        </w:rPr>
        <w:t>(continued)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447"/>
        <w:gridCol w:w="2447"/>
        <w:gridCol w:w="2447"/>
        <w:gridCol w:w="2447"/>
      </w:tblGrid>
      <w:tr>
        <w:trPr>
          <w:trHeight w:hRule="exact" w:val="304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Clause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Objectives</w:t>
            </w:r>
          </w:p>
        </w:tc>
        <w:tc>
          <w:tcPr>
            <w:tcW w:type="dxa" w:w="2956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Prerequisites</w:t>
            </w:r>
          </w:p>
        </w:tc>
        <w:tc>
          <w:tcPr>
            <w:tcW w:type="dxa" w:w="2480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Work products</w:t>
            </w:r>
          </w:p>
        </w:tc>
      </w:tr>
      <w:tr>
        <w:trPr>
          <w:trHeight w:hRule="exact" w:val="5732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34" w:right="288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 xml:space="preserve">6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Criteria for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coexistence of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elements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202"/>
              <w:ind w:left="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This Clause provides criteria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for the coexistence within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same element of: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.0" w:type="dxa"/>
            </w:tblPr>
            <w:tblGrid>
              <w:gridCol w:w="1299"/>
              <w:gridCol w:w="1299"/>
            </w:tblGrid>
            <w:tr>
              <w:trPr>
                <w:trHeight w:hRule="exact" w:val="2058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a)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83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b) </w:t>
                  </w:r>
                </w:p>
              </w:tc>
              <w:tc>
                <w:tcPr>
                  <w:tcW w:type="dxa" w:w="20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60" w:after="0"/>
                    <w:ind w:left="92" w:right="144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safety-related sub-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elements with non-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safety-related sub-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elements; and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70" w:after="0"/>
                    <w:ind w:left="92" w:right="144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safety-related sub-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elements that have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different ASILs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assigned.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56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44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safety requirements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the level at which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analysis is to be performed: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system, or hardware, or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software in accordance with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26262-3:2018, 7.5.1,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26262-4:2018, 6.5.1,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26262-5:2018, 6.5.1,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26262-6:2018, 6.5.1;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4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architectural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information of the element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the level at which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analysis is to be performed: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system, or hardware, or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software, in accordance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with ISO 26262-3:2018,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7.5.1, ISO 26262-4:2018,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6.5.3, or ISO 26262-5:2018,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7.5.1, or ISO 26262-6:2018,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7.5.1; and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4" w:right="144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allocation of the safety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requirements to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element and sub-elements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under consideration.</w:t>
            </w:r>
          </w:p>
        </w:tc>
        <w:tc>
          <w:tcPr>
            <w:tcW w:type="dxa" w:w="2480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6.5.1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Update of the ASIL at-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tribute of the sub-elements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of the element, resulting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6.4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.</w:t>
            </w:r>
          </w:p>
        </w:tc>
      </w:tr>
    </w:tbl>
    <w:p>
      <w:pPr>
        <w:autoSpaceDN w:val="0"/>
        <w:tabs>
          <w:tab w:pos="7282" w:val="left"/>
        </w:tabs>
        <w:autoSpaceDE w:val="0"/>
        <w:widowControl/>
        <w:spacing w:line="240" w:lineRule="auto" w:before="7966" w:after="0"/>
        <w:ind w:left="1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20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88" w:bottom="258" w:left="728" w:header="720" w:footer="720" w:gutter="0"/>
          <w:cols w:space="720" w:num="1" w:equalWidth="0"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12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Table A.1 </w:t>
      </w:r>
      <w:r>
        <w:rPr>
          <w:rFonts w:ascii="Cambria" w:hAnsi="Cambria" w:eastAsia="Cambria"/>
          <w:b w:val="0"/>
          <w:i/>
          <w:color w:val="221F1F"/>
          <w:sz w:val="22"/>
        </w:rPr>
        <w:t>(continued)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447"/>
        <w:gridCol w:w="2447"/>
        <w:gridCol w:w="2447"/>
        <w:gridCol w:w="2447"/>
      </w:tblGrid>
      <w:tr>
        <w:trPr>
          <w:trHeight w:hRule="exact" w:val="304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Clause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Objectives</w:t>
            </w:r>
          </w:p>
        </w:tc>
        <w:tc>
          <w:tcPr>
            <w:tcW w:type="dxa" w:w="295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Prerequisites</w:t>
            </w:r>
          </w:p>
        </w:tc>
        <w:tc>
          <w:tcPr>
            <w:tcW w:type="dxa" w:w="2478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Work products</w:t>
            </w:r>
          </w:p>
        </w:tc>
      </w:tr>
      <w:tr>
        <w:trPr>
          <w:trHeight w:hRule="exact" w:val="8336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34" w:right="144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 xml:space="preserve">7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Analysis of de-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pendent failures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202"/>
              <w:ind w:left="4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objectives of this Clause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are: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.999999999999886" w:type="dxa"/>
            </w:tblPr>
            <w:tblGrid>
              <w:gridCol w:w="1299"/>
              <w:gridCol w:w="1299"/>
            </w:tblGrid>
            <w:tr>
              <w:trPr>
                <w:trHeight w:hRule="exact" w:val="2938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a)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71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b) </w:t>
                  </w:r>
                </w:p>
              </w:tc>
              <w:tc>
                <w:tcPr>
                  <w:tcW w:type="dxa" w:w="2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60" w:after="0"/>
                    <w:ind w:left="92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to confirm that a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required independence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or freedom from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interference is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sufficiently achieved in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the design by analysing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their potential causes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or initiators; and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70" w:after="0"/>
                    <w:ind w:left="92" w:right="144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to define safety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measures to mitigate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plausible dependent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failures, if necessary.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95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.000000000000455" w:type="dxa"/>
            </w:tblPr>
            <w:tblGrid>
              <w:gridCol w:w="1479"/>
              <w:gridCol w:w="1479"/>
            </w:tblGrid>
            <w:tr>
              <w:trPr>
                <w:trHeight w:hRule="exact" w:val="2288"/>
              </w:trPr>
              <w:tc>
                <w:tcPr>
                  <w:tcW w:type="dxa" w:w="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4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— </w:t>
                  </w:r>
                </w:p>
              </w:tc>
              <w:tc>
                <w:tcPr>
                  <w:tcW w:type="dxa" w:w="25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14" w:after="0"/>
                    <w:ind w:left="90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The independence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requirements at the level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at which the analysis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of dependent failures is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applied: system, hardware,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or software in accordance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with ISO 26262-3:2018, 7.5.1,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ISO 26262-4:2018, 6.5.1,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 xml:space="preserve">ISO 26262-5:2018, 6.5.1, or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20"/>
                    </w:rPr>
                    <w:t>ISO 26262-6:2018, 6.5.1;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5" w:lineRule="auto" w:before="110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freedom from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interference requirements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the level at which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analysis of dependent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failures is applied: system,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hardware, or software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 accordance with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26262-3:2018, 7.5.1,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26262-4:2018, 6.5.1,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26262-5:2018, 6.5.1,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26262-6:2018, 6.5.1;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architectural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information at the level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which the analysis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of dependent failures is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applied: system, hardware,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or software in accordance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with ISO 26262-3:2018,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7.5.1, ISO 26262-4:2018,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6.5.3, ISO 26262-5:2018,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7.5.1, or ISO 26262-6:2018,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7.5.1; and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288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safety plan in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accordance with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26262-2:2018, 6.5.3.</w:t>
            </w:r>
          </w:p>
        </w:tc>
        <w:tc>
          <w:tcPr>
            <w:tcW w:type="dxa" w:w="2478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7.5.1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Dependent Failures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Analysis, resulting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7.4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45" w:lineRule="auto" w:before="98" w:after="0"/>
              <w:ind w:left="0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7.5.2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Dependent Failures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Analysis Verification Re-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port resulting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7.4.9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.</w:t>
            </w:r>
          </w:p>
        </w:tc>
      </w:tr>
    </w:tbl>
    <w:p>
      <w:pPr>
        <w:autoSpaceDN w:val="0"/>
        <w:tabs>
          <w:tab w:pos="9500" w:val="left"/>
        </w:tabs>
        <w:autoSpaceDE w:val="0"/>
        <w:widowControl/>
        <w:spacing w:line="240" w:lineRule="auto" w:before="5362" w:after="0"/>
        <w:ind w:left="1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21</w:t>
      </w:r>
    </w:p>
    <w:p>
      <w:pPr>
        <w:sectPr>
          <w:pgSz w:w="11906" w:h="16838"/>
          <w:pgMar w:top="334" w:right="708" w:bottom="258" w:left="1408" w:header="720" w:footer="720" w:gutter="0"/>
          <w:cols w:space="720" w:num="1" w:equalWidth="0"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12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Table A.1 </w:t>
      </w:r>
      <w:r>
        <w:rPr>
          <w:rFonts w:ascii="Cambria" w:hAnsi="Cambria" w:eastAsia="Cambria"/>
          <w:b w:val="0"/>
          <w:i/>
          <w:color w:val="221F1F"/>
          <w:sz w:val="22"/>
        </w:rPr>
        <w:t>(continued)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2447"/>
        <w:gridCol w:w="2447"/>
        <w:gridCol w:w="2447"/>
        <w:gridCol w:w="2447"/>
      </w:tblGrid>
      <w:tr>
        <w:trPr>
          <w:trHeight w:hRule="exact" w:val="304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Clause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Objectives</w:t>
            </w:r>
          </w:p>
        </w:tc>
        <w:tc>
          <w:tcPr>
            <w:tcW w:type="dxa" w:w="2956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Prerequisites</w:t>
            </w:r>
          </w:p>
        </w:tc>
        <w:tc>
          <w:tcPr>
            <w:tcW w:type="dxa" w:w="2480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20"/>
              </w:rPr>
              <w:t>Work products</w:t>
            </w:r>
          </w:p>
        </w:tc>
      </w:tr>
      <w:tr>
        <w:trPr>
          <w:trHeight w:hRule="exact" w:val="9200"/>
        </w:trPr>
        <w:tc>
          <w:tcPr>
            <w:tcW w:type="dxa" w:w="1696"/>
            <w:tcBorders>
              <w:start w:sz="8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34" w:right="288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 xml:space="preserve">8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Safety analyses</w:t>
            </w:r>
          </w:p>
        </w:tc>
        <w:tc>
          <w:tcPr>
            <w:tcW w:type="dxa" w:w="2598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0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The objective of safety anal-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yses is to ensure that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risk of a safety goal violation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due to systematic faults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random hardware faults is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sufficiently low. Depending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on the application, this is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achieved by: </w:t>
            </w:r>
          </w:p>
          <w:p>
            <w:pPr>
              <w:autoSpaceDN w:val="0"/>
              <w:autoSpaceDE w:val="0"/>
              <w:widowControl/>
              <w:spacing w:line="245" w:lineRule="auto" w:before="262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identifying new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hazards not previously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identified during the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hazard analysis and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risk assessment;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288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identifying faults,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or failures, that can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lead to the violation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of a safety goal, or a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safety requirement,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respectively;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576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identifying their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potential causes;</w:t>
            </w:r>
          </w:p>
          <w:p>
            <w:pPr>
              <w:autoSpaceDN w:val="0"/>
              <w:autoSpaceDE w:val="0"/>
              <w:widowControl/>
              <w:spacing w:line="245" w:lineRule="auto" w:before="168" w:after="0"/>
              <w:ind w:left="442" w:right="288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supporting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definition of safety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measures for fault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prevention, or fault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control, respectively;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providing evidence for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suitability of safety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concepts; and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2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supporting the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verification of safety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concepts, safety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requirements, and the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identification of design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requirements and test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requirements.</w:t>
            </w:r>
          </w:p>
        </w:tc>
        <w:tc>
          <w:tcPr>
            <w:tcW w:type="dxa" w:w="2956"/>
            <w:tcBorders>
              <w:start w:sz="4.0" w:val="single" w:color="#221F1F"/>
              <w:top w:sz="8.0" w:val="single" w:color="#221F1F"/>
              <w:end w:sz="4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44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safety requirements at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level at which the safety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analysis is to be performed: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system, hardware, or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software in accordance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with ISO 26262-3:2018,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7.5.1, ISO 26262-4:2018,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6.5.1, ISO 26262-5:2018,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6.5.1, or ISO 26262-6:2018,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6.5.1; and</w:t>
            </w:r>
          </w:p>
          <w:p>
            <w:pPr>
              <w:autoSpaceDN w:val="0"/>
              <w:autoSpaceDE w:val="0"/>
              <w:widowControl/>
              <w:spacing w:line="245" w:lineRule="auto" w:before="170" w:after="0"/>
              <w:ind w:left="444" w:right="0" w:hanging="402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— The architectural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information of the element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at the level at which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the safety analysis is to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be performed: system,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hardware, or software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in accordance with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26262-4:2018, 7.5.2,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ISO 26262-5:2018, 7.5.1, 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>ISO 26262-6:2018, 7.5.1.</w:t>
            </w:r>
          </w:p>
        </w:tc>
        <w:tc>
          <w:tcPr>
            <w:tcW w:type="dxa" w:w="2480"/>
            <w:tcBorders>
              <w:start w:sz="4.0" w:val="single" w:color="#221F1F"/>
              <w:top w:sz="8.0" w:val="single" w:color="#221F1F"/>
              <w:end w:sz="8.0" w:val="single" w:color="#221F1F"/>
              <w:bottom w:sz="8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42" w:right="144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8.5.1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Safety analyses, re-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sulting 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8.4</w:t>
            </w:r>
          </w:p>
          <w:p>
            <w:pPr>
              <w:autoSpaceDN w:val="0"/>
              <w:autoSpaceDE w:val="0"/>
              <w:widowControl/>
              <w:spacing w:line="245" w:lineRule="auto" w:before="98" w:after="0"/>
              <w:ind w:left="42" w:right="144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8.5.2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 Safety analyses ver-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ification report, resulting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0"/>
              </w:rPr>
              <w:t xml:space="preserve">from </w:t>
            </w:r>
            <w:r>
              <w:rPr>
                <w:rFonts w:ascii="Cambria" w:hAnsi="Cambria" w:eastAsia="Cambria"/>
                <w:b w:val="0"/>
                <w:i w:val="0"/>
                <w:color w:val="053BF5"/>
                <w:sz w:val="20"/>
                <w:u w:val="single"/>
              </w:rPr>
              <w:t>8.4.8</w:t>
            </w:r>
          </w:p>
        </w:tc>
      </w:tr>
    </w:tbl>
    <w:p>
      <w:pPr>
        <w:autoSpaceDN w:val="0"/>
        <w:tabs>
          <w:tab w:pos="7282" w:val="left"/>
        </w:tabs>
        <w:autoSpaceDE w:val="0"/>
        <w:widowControl/>
        <w:spacing w:line="240" w:lineRule="auto" w:before="4498" w:after="0"/>
        <w:ind w:left="1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22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88" w:bottom="258" w:left="728" w:header="720" w:footer="720" w:gutter="0"/>
          <w:cols w:space="720" w:num="1" w:equalWidth="0"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698" w:after="0"/>
        <w:ind w:left="3888" w:right="3888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Annex B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32"/>
        </w:rPr>
        <w:t xml:space="preserve">(informative) </w:t>
      </w:r>
    </w:p>
    <w:p>
      <w:pPr>
        <w:autoSpaceDN w:val="0"/>
        <w:autoSpaceDE w:val="0"/>
        <w:widowControl/>
        <w:spacing w:line="245" w:lineRule="auto" w:before="330" w:after="0"/>
        <w:ind w:left="864" w:right="864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Example architectures for Coexistence of elements and </w:t>
      </w:r>
      <w:r>
        <w:rPr>
          <w:rFonts w:ascii="Cambria" w:hAnsi="Cambria" w:eastAsia="Cambria"/>
          <w:b/>
          <w:i w:val="0"/>
          <w:color w:val="221F1F"/>
          <w:sz w:val="32"/>
        </w:rPr>
        <w:t>Decomposition of requirements</w:t>
      </w:r>
    </w:p>
    <w:p>
      <w:pPr>
        <w:autoSpaceDN w:val="0"/>
        <w:autoSpaceDE w:val="0"/>
        <w:widowControl/>
        <w:spacing w:line="240" w:lineRule="auto" w:before="96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B.1 Example architecture</w:t>
      </w:r>
    </w:p>
    <w:p>
      <w:pPr>
        <w:autoSpaceDN w:val="0"/>
        <w:autoSpaceDE w:val="0"/>
        <w:widowControl/>
        <w:spacing w:line="240" w:lineRule="auto" w:before="1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19700" cy="2260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12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Figure B.1 — Coexistence and decomposition in an example architecture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36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Coexistence and decomposition are part of the system architectural design constraints addressed in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ISO 26262-4:2018, Clause 6; hardware design in ISO 26262-5:2018, Clause 7; and software in ISO 26262-6:2018, </w:t>
      </w:r>
      <w:r>
        <w:rPr>
          <w:rFonts w:ascii="Cambria" w:hAnsi="Cambria" w:eastAsia="Cambria"/>
          <w:b w:val="0"/>
          <w:i w:val="0"/>
          <w:color w:val="221F1F"/>
          <w:sz w:val="20"/>
        </w:rPr>
        <w:t>Clause 7.</w:t>
      </w:r>
    </w:p>
    <w:p>
      <w:pPr>
        <w:autoSpaceDN w:val="0"/>
        <w:tabs>
          <w:tab w:pos="402" w:val="left"/>
        </w:tabs>
        <w:autoSpaceDE w:val="0"/>
        <w:widowControl/>
        <w:spacing w:line="286" w:lineRule="auto" w:before="378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B.2 Coexistence (</w:t>
      </w:r>
      <w:r>
        <w:rPr>
          <w:rFonts w:ascii="Cambria" w:hAnsi="Cambria" w:eastAsia="Cambria"/>
          <w:b/>
          <w:i w:val="0"/>
          <w:color w:val="053BF5"/>
          <w:sz w:val="26"/>
          <w:u w:val="single"/>
        </w:rPr>
        <w:t>Clause 6</w:t>
      </w:r>
      <w:r>
        <w:rPr>
          <w:rFonts w:ascii="Cambria" w:hAnsi="Cambria" w:eastAsia="Cambria"/>
          <w:b/>
          <w:i w:val="0"/>
          <w:color w:val="221F1F"/>
          <w:sz w:val="26"/>
        </w:rPr>
        <w:t>):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If an ASIL x requirement is allocated to Element 1, then Sub-element 1.1 and Sub-element 1.2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inherit ASIL x.</w:t>
      </w:r>
    </w:p>
    <w:p>
      <w:pPr>
        <w:autoSpaceDN w:val="0"/>
        <w:tabs>
          <w:tab w:pos="396" w:val="left"/>
          <w:tab w:pos="798" w:val="left"/>
        </w:tabs>
        <w:autoSpaceDE w:val="0"/>
        <w:widowControl/>
        <w:spacing w:line="314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Sub-element 1.2 is only developed at a lower ASIL if the following conditions are met:</w:t>
      </w:r>
      <w:r>
        <w:br/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— At least one sub-element of Element 1 is able to fulfil Element 1 requirement at ASIL x (e.g. Sub-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element 1.1);</w:t>
      </w:r>
      <w:r>
        <w:br/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— Sub-element 1.2 cannot violate Element 1 safety requirement; and</w:t>
      </w:r>
      <w:r>
        <w:br/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Criteria for coexistence are met (see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6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): no cascading failures from Sub-element 1.2 to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2"/>
        </w:rPr>
        <w:t>Sub-element 1.1 (Freedom From Interference).</w:t>
      </w:r>
    </w:p>
    <w:p>
      <w:pPr>
        <w:autoSpaceDN w:val="0"/>
        <w:autoSpaceDE w:val="0"/>
        <w:widowControl/>
        <w:spacing w:line="286" w:lineRule="auto" w:before="37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6"/>
        </w:rPr>
        <w:t>B.3 Decomposition (</w:t>
      </w:r>
      <w:r>
        <w:rPr>
          <w:rFonts w:ascii="Cambria" w:hAnsi="Cambria" w:eastAsia="Cambria"/>
          <w:b/>
          <w:i w:val="0"/>
          <w:color w:val="053BF5"/>
          <w:sz w:val="26"/>
          <w:u w:val="single"/>
        </w:rPr>
        <w:t>Clause 5</w:t>
      </w:r>
      <w:r>
        <w:rPr>
          <w:rFonts w:ascii="Cambria" w:hAnsi="Cambria" w:eastAsia="Cambria"/>
          <w:b/>
          <w:i w:val="0"/>
          <w:color w:val="221F1F"/>
          <w:sz w:val="26"/>
        </w:rPr>
        <w:t xml:space="preserve">)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If an ASIL z requirement is allocated to the ECU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Figure B.1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, it can be decomposed between independent </w:t>
      </w:r>
      <w:r>
        <w:rPr>
          <w:rFonts w:ascii="Cambria" w:hAnsi="Cambria" w:eastAsia="Cambria"/>
          <w:b w:val="0"/>
          <w:i w:val="0"/>
          <w:color w:val="221F1F"/>
          <w:sz w:val="22"/>
        </w:rPr>
        <w:t>AND redundant hardware elements.</w:t>
      </w:r>
    </w:p>
    <w:p>
      <w:pPr>
        <w:autoSpaceDN w:val="0"/>
        <w:autoSpaceDE w:val="0"/>
        <w:widowControl/>
        <w:spacing w:line="319" w:lineRule="auto" w:before="168" w:after="0"/>
        <w:ind w:left="0" w:right="1008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This is equivalent to meeting all of the following conditions: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A decomposition schema described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Clause 5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 is used, i.e. ASIL z → ASIL x(z) + ASIL y(z);</w:t>
      </w:r>
    </w:p>
    <w:p>
      <w:pPr>
        <w:autoSpaceDN w:val="0"/>
        <w:tabs>
          <w:tab w:pos="9490" w:val="left"/>
        </w:tabs>
        <w:autoSpaceDE w:val="0"/>
        <w:widowControl/>
        <w:spacing w:line="240" w:lineRule="auto" w:before="30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23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71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HW_Element_1 fulfils by itself the ECU safety requirement at ASIL x(z);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>— HW_Element_2 fulfils by itself the ECU safety requirement at ASIL y(z); and</w:t>
      </w:r>
    </w:p>
    <w:p>
      <w:pPr>
        <w:autoSpaceDN w:val="0"/>
        <w:autoSpaceDE w:val="0"/>
        <w:widowControl/>
        <w:spacing w:line="245" w:lineRule="auto" w:before="168" w:after="0"/>
        <w:ind w:left="402" w:right="20" w:hanging="402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— HW_Element_1 and HW_Element_2 are independent, i.e. no cascading failures from HW_Element_1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to HW_Element_2 and no cascading failures from HW_Element_2 to HW_Element_1, no common </w:t>
      </w:r>
      <w:r>
        <w:rPr>
          <w:rFonts w:ascii="Cambria" w:hAnsi="Cambria" w:eastAsia="Cambria"/>
          <w:b w:val="0"/>
          <w:i w:val="0"/>
          <w:color w:val="221F1F"/>
          <w:sz w:val="22"/>
        </w:rPr>
        <w:t>cause failure, demonstrated at ASIL z.</w:t>
      </w:r>
    </w:p>
    <w:p>
      <w:pPr>
        <w:autoSpaceDN w:val="0"/>
        <w:tabs>
          <w:tab w:pos="7272" w:val="left"/>
        </w:tabs>
        <w:autoSpaceDE w:val="0"/>
        <w:widowControl/>
        <w:spacing w:line="240" w:lineRule="auto" w:before="12804" w:after="0"/>
        <w:ind w:left="0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24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18"/>
        </w:rPr>
        <w:t>© ISO 2018 – All rights reserved</w:t>
      </w:r>
    </w:p>
    <w:p>
      <w:pPr>
        <w:sectPr>
          <w:pgSz w:w="11906" w:h="16838"/>
          <w:pgMar w:top="334" w:right="1350" w:bottom="258" w:left="738" w:header="720" w:footer="720" w:gutter="0"/>
          <w:cols w:space="720" w:num="1" w:equalWidth="0"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70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5" w:lineRule="auto" w:before="698" w:after="0"/>
        <w:ind w:left="3888" w:right="3888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 xml:space="preserve">Annex C </w:t>
      </w:r>
      <w:r>
        <w:br/>
      </w:r>
      <w:r>
        <w:rPr>
          <w:rFonts w:ascii="Cambria" w:hAnsi="Cambria" w:eastAsia="Cambria"/>
          <w:b w:val="0"/>
          <w:i w:val="0"/>
          <w:color w:val="221F1F"/>
          <w:sz w:val="32"/>
        </w:rPr>
        <w:t xml:space="preserve">(informative) 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32"/>
        </w:rPr>
        <w:t>Framework for Identifying Dependent Failures</w:t>
      </w:r>
    </w:p>
    <w:p>
      <w:pPr>
        <w:autoSpaceDN w:val="0"/>
        <w:autoSpaceDE w:val="0"/>
        <w:widowControl/>
        <w:spacing w:line="245" w:lineRule="auto" w:before="756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Independence between two or more elements is determined by showing absence of dependent failures,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i.e. absence of cascading failures and common cause failures. Independence can be required between </w:t>
      </w:r>
      <w:r>
        <w:rPr>
          <w:rFonts w:ascii="Cambria" w:hAnsi="Cambria" w:eastAsia="Cambria"/>
          <w:b w:val="0"/>
          <w:i w:val="0"/>
          <w:color w:val="221F1F"/>
          <w:sz w:val="22"/>
        </w:rPr>
        <w:t>elements according to the safety concept, e.g. to support ASIL decomposition.</w:t>
      </w:r>
    </w:p>
    <w:p>
      <w:pPr>
        <w:autoSpaceDN w:val="0"/>
        <w:autoSpaceDE w:val="0"/>
        <w:widowControl/>
        <w:spacing w:line="245" w:lineRule="auto" w:before="16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In order to identify cascading and common cause failures, the following classes of coupling factors can </w:t>
      </w:r>
      <w:r>
        <w:rPr>
          <w:rFonts w:ascii="Cambria" w:hAnsi="Cambria" w:eastAsia="Cambria"/>
          <w:b w:val="0"/>
          <w:i w:val="0"/>
          <w:color w:val="221F1F"/>
          <w:sz w:val="22"/>
        </w:rPr>
        <w:t>be used to improve the completeness of the analysis.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70500" cy="3835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16" w:after="0"/>
        <w:ind w:left="0" w:right="0" w:firstLine="0"/>
        <w:jc w:val="center"/>
      </w:pPr>
      <w:r>
        <w:rPr>
          <w:rFonts w:ascii="Cambria" w:hAnsi="Cambria" w:eastAsia="Cambria"/>
          <w:b/>
          <w:i w:val="0"/>
          <w:color w:val="221F1F"/>
          <w:sz w:val="22"/>
        </w:rPr>
        <w:t>Figure C.1 — Coupling factor classes between elements</w:t>
      </w:r>
    </w:p>
    <w:p>
      <w:pPr>
        <w:autoSpaceDN w:val="0"/>
        <w:tabs>
          <w:tab w:pos="964" w:val="left"/>
        </w:tabs>
        <w:autoSpaceDE w:val="0"/>
        <w:widowControl/>
        <w:spacing w:line="245" w:lineRule="auto" w:before="366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NOTE </w:t>
      </w:r>
      <w:r>
        <w:tab/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The grey arrows indicate the functional chain of events linking the elements thereby realizing the </w:t>
      </w:r>
      <w:r>
        <w:rPr>
          <w:rFonts w:ascii="Cambria" w:hAnsi="Cambria" w:eastAsia="Cambria"/>
          <w:b w:val="0"/>
          <w:i w:val="0"/>
          <w:color w:val="221F1F"/>
          <w:sz w:val="20"/>
        </w:rPr>
        <w:t xml:space="preserve">functionality affected by coupling factors. The dotted arrows indicate the classes of coupling factors potentially </w:t>
      </w:r>
      <w:r>
        <w:rPr>
          <w:rFonts w:ascii="Cambria" w:hAnsi="Cambria" w:eastAsia="Cambria"/>
          <w:b w:val="0"/>
          <w:i w:val="0"/>
          <w:color w:val="221F1F"/>
          <w:sz w:val="20"/>
        </w:rPr>
        <w:t>affecting the system and its elements.</w:t>
      </w:r>
    </w:p>
    <w:p>
      <w:pPr>
        <w:autoSpaceDN w:val="0"/>
        <w:autoSpaceDE w:val="0"/>
        <w:widowControl/>
        <w:spacing w:line="245" w:lineRule="auto" w:before="174" w:after="0"/>
        <w:ind w:left="0" w:right="20" w:firstLine="0"/>
        <w:jc w:val="both"/>
      </w:pP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These classes of coupling factors can be applied as checklists to any level of abstraction, including the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system, software, hardware, and semiconductor levels, as illustrated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Table C.1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. This table presents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examples of coupling factors, which are mapped to the topics in </w:t>
      </w:r>
      <w:r>
        <w:rPr>
          <w:rFonts w:ascii="Cambria" w:hAnsi="Cambria" w:eastAsia="Cambria"/>
          <w:b w:val="0"/>
          <w:i w:val="0"/>
          <w:color w:val="053BF5"/>
          <w:sz w:val="22"/>
          <w:u w:val="single"/>
        </w:rPr>
        <w:t>7.4.4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. Some examples can belong to </w:t>
      </w:r>
      <w:r>
        <w:rPr>
          <w:rFonts w:ascii="Cambria" w:hAnsi="Cambria" w:eastAsia="Cambria"/>
          <w:b w:val="0"/>
          <w:i w:val="0"/>
          <w:color w:val="221F1F"/>
          <w:sz w:val="22"/>
        </w:rPr>
        <w:t xml:space="preserve">several coupling factor classes, e.g. software calibration parameters might be considered as Shared </w:t>
      </w:r>
      <w:r>
        <w:rPr>
          <w:rFonts w:ascii="Cambria" w:hAnsi="Cambria" w:eastAsia="Cambria"/>
          <w:b w:val="0"/>
          <w:i w:val="0"/>
          <w:color w:val="221F1F"/>
          <w:sz w:val="22"/>
        </w:rPr>
        <w:t>Resource or Shared Information Input.</w:t>
      </w:r>
    </w:p>
    <w:p>
      <w:pPr>
        <w:autoSpaceDN w:val="0"/>
        <w:tabs>
          <w:tab w:pos="9490" w:val="left"/>
        </w:tabs>
        <w:autoSpaceDE w:val="0"/>
        <w:widowControl/>
        <w:spacing w:line="240" w:lineRule="auto" w:before="160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221F1F"/>
          <w:sz w:val="18"/>
        </w:rPr>
        <w:t xml:space="preserve">© ISO 2018 – All rights reserved </w:t>
      </w:r>
      <w:r>
        <w:tab/>
      </w:r>
      <w:r>
        <w:rPr>
          <w:rFonts w:ascii="Cambria" w:hAnsi="Cambria" w:eastAsia="Cambria"/>
          <w:b/>
          <w:i w:val="0"/>
          <w:color w:val="221F1F"/>
          <w:sz w:val="22"/>
        </w:rPr>
        <w:t>25</w:t>
      </w:r>
    </w:p>
    <w:p>
      <w:pPr>
        <w:sectPr>
          <w:pgSz w:w="11906" w:h="16838"/>
          <w:pgMar w:top="334" w:right="668" w:bottom="258" w:left="1418" w:header="720" w:footer="720" w:gutter="0"/>
          <w:cols w:space="720" w:num="1" w:equalWidth="0"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240" w:lineRule="auto" w:before="0" w:after="128"/>
        <w:ind w:left="3682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2"/>
        </w:rPr>
        <w:t>Table C.1 — Examples at the system, software, hardware, and semiconductor levels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01"/>
        <w:gridCol w:w="1901"/>
        <w:gridCol w:w="1901"/>
        <w:gridCol w:w="1901"/>
        <w:gridCol w:w="1901"/>
        <w:gridCol w:w="1901"/>
        <w:gridCol w:w="1901"/>
        <w:gridCol w:w="1901"/>
      </w:tblGrid>
      <w:tr>
        <w:trPr>
          <w:trHeight w:hRule="exact" w:val="254"/>
        </w:trPr>
        <w:tc>
          <w:tcPr>
            <w:tcW w:type="dxa" w:w="55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30" w:right="0" w:firstLine="0"/>
              <w:jc w:val="left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38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Coupling factor class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Mapping to the </w:t>
            </w:r>
          </w:p>
        </w:tc>
        <w:tc>
          <w:tcPr>
            <w:tcW w:type="dxa" w:w="26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Examples at the system level</w:t>
            </w:r>
          </w:p>
        </w:tc>
        <w:tc>
          <w:tcPr>
            <w:tcW w:type="dxa" w:w="25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hardware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software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</w:t>
            </w:r>
          </w:p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4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74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topics in ISO 26262-</w:t>
            </w:r>
          </w:p>
        </w:tc>
        <w:tc>
          <w:tcPr>
            <w:tcW w:type="dxa" w:w="5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084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level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level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4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semiconductor level</w:t>
            </w:r>
          </w:p>
        </w:tc>
      </w:tr>
      <w:tr>
        <w:trPr>
          <w:trHeight w:hRule="exact" w:val="496"/>
        </w:trPr>
        <w:tc>
          <w:tcPr>
            <w:tcW w:type="dxa" w:w="1901"/>
            <w:vMerge/>
            <w:tcBorders/>
          </w:tcPr>
          <w:p/>
        </w:tc>
        <w:tc>
          <w:tcPr>
            <w:tcW w:type="dxa" w:w="92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5560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9:2018, 7.4.4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2.0" w:type="dxa"/>
            </w:tblPr>
            <w:tblGrid>
              <w:gridCol w:w="2305"/>
              <w:gridCol w:w="2305"/>
              <w:gridCol w:w="2305"/>
              <w:gridCol w:w="2305"/>
            </w:tblGrid>
            <w:tr>
              <w:trPr>
                <w:trHeight w:hRule="exact" w:val="2580"/>
              </w:trPr>
              <w:tc>
                <w:tcPr>
                  <w:tcW w:type="dxa" w:w="686"/>
                  <w:tcBorders>
                    <w:start w:sz="8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2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Shared 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0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The sam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hardwar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element i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used by t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which ar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affected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or unava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that shar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22" w:after="0"/>
                    <w:ind w:left="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Shared I 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Input</w:t>
                  </w:r>
                </w:p>
              </w:tc>
              <w:tc>
                <w:tcPr>
                  <w:tcW w:type="dxa" w:w="2030"/>
                  <w:tcBorders>
                    <w:start w:sz="8.0" w:val="single" w:color="#221F1F"/>
                    <w:top w:sz="8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36.00000000000023" w:type="dxa"/>
                  </w:tblPr>
                  <w:tblGrid>
                    <w:gridCol w:w="677"/>
                    <w:gridCol w:w="677"/>
                    <w:gridCol w:w="677"/>
                  </w:tblGrid>
                  <w:tr>
                    <w:trPr>
                      <w:trHeight w:hRule="exact" w:val="264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Resource</w:t>
                        </w:r>
                      </w:p>
                    </w:tc>
                    <w:tc>
                      <w:tcPr>
                        <w:tcW w:type="dxa" w:w="3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a) </w:t>
                        </w:r>
                      </w:p>
                    </w:tc>
                    <w:tc>
                      <w:tcPr>
                        <w:tcW w:type="dxa" w:w="58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4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rando</w:t>
                        </w:r>
                      </w:p>
                    </w:tc>
                  </w:tr>
                  <w:tr>
                    <w:trPr>
                      <w:trHeight w:hRule="exact" w:val="56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hardw</w:t>
                        </w:r>
                      </w:p>
                    </w:tc>
                  </w:tr>
                  <w:tr>
                    <w:trPr>
                      <w:trHeight w:hRule="exact" w:val="142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 software,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02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14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e, or system </w:t>
                        </w:r>
                      </w:p>
                    </w:tc>
                    <w:tc>
                      <w:tcPr>
                        <w:tcW w:type="dxa" w:w="3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7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g)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6"/>
                    </w:trPr>
                    <w:tc>
                      <w:tcPr>
                        <w:tcW w:type="dxa" w:w="114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5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nstance is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</w:t>
                        </w:r>
                      </w:p>
                    </w:tc>
                  </w:tr>
                  <w:tr>
                    <w:trPr>
                      <w:trHeight w:hRule="exact" w:val="74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wo elements,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28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comm</w:t>
                        </w:r>
                      </w:p>
                    </w:tc>
                  </w:tr>
                  <w:tr>
                    <w:trPr>
                      <w:trHeight w:hRule="exact" w:val="70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 therefore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26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resou</w:t>
                        </w:r>
                      </w:p>
                    </w:tc>
                  </w:tr>
                  <w:tr>
                    <w:trPr>
                      <w:trHeight w:hRule="exact" w:val="72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by the failure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26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infor</w:t>
                        </w:r>
                      </w:p>
                    </w:tc>
                  </w:tr>
                  <w:tr>
                    <w:trPr>
                      <w:trHeight w:hRule="exact" w:val="192"/>
                    </w:trPr>
                    <w:tc>
                      <w:tcPr>
                        <w:tcW w:type="dxa" w:w="114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ilability of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74"/>
                    </w:trPr>
                    <w:tc>
                      <w:tcPr>
                        <w:tcW w:type="dxa" w:w="114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4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ed resource.</w:t>
                        </w:r>
                      </w:p>
                    </w:tc>
                    <w:tc>
                      <w:tcPr>
                        <w:tcW w:type="dxa" w:w="3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3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a) </w:t>
                        </w:r>
                      </w:p>
                    </w:tc>
                    <w:tc>
                      <w:tcPr>
                        <w:tcW w:type="dxa" w:w="58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rando</w:t>
                        </w:r>
                      </w:p>
                    </w:tc>
                  </w:tr>
                  <w:tr>
                    <w:trPr>
                      <w:trHeight w:hRule="exact" w:val="258"/>
                    </w:trPr>
                    <w:tc>
                      <w:tcPr>
                        <w:tcW w:type="dxa" w:w="114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 xml:space="preserve">nformation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2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hardw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82"/>
                  <w:tcBorders>
                    <w:start w:sz="4.0" w:val="single" w:color="#221F1F"/>
                    <w:top w:sz="8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33.99999999999977" w:type="dxa"/>
                  </w:tblPr>
                  <w:tblGrid>
                    <w:gridCol w:w="861"/>
                    <w:gridCol w:w="861"/>
                    <w:gridCol w:w="861"/>
                  </w:tblGrid>
                  <w:tr>
                    <w:trPr>
                      <w:trHeight w:hRule="exact" w:val="264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4" w:after="0"/>
                          <w:ind w:left="4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m 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4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Power supply (se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are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also Insufficient </w:t>
                        </w:r>
                      </w:p>
                    </w:tc>
                  </w:tr>
                  <w:tr>
                    <w:trPr>
                      <w:trHeight w:hRule="exact" w:val="92"/>
                    </w:trPr>
                    <w:tc>
                      <w:tcPr>
                        <w:tcW w:type="dxa" w:w="10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es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Environmenta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6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76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6" w:after="0"/>
                          <w:ind w:left="1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es of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Wiring harness</w:t>
                        </w:r>
                      </w:p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on external 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9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40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9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Data and comm</w:t>
                        </w:r>
                      </w:p>
                    </w:tc>
                  </w:tr>
                  <w:tr>
                    <w:trPr>
                      <w:trHeight w:hRule="exact" w:val="203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rces or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85"/>
                    </w:trPr>
                    <w:tc>
                      <w:tcPr>
                        <w:tcW w:type="dxa" w:w="10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mation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busses</w:t>
                        </w:r>
                      </w:p>
                    </w:tc>
                  </w:tr>
                  <w:tr>
                    <w:trPr>
                      <w:trHeight w:hRule="exact" w:val="9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34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Powerstage</w:t>
                        </w:r>
                      </w:p>
                    </w:tc>
                  </w:tr>
                  <w:tr>
                    <w:trPr>
                      <w:trHeight w:hRule="exact" w:val="240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8" w:after="0"/>
                          <w:ind w:left="4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m 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8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External mess</w:t>
                        </w:r>
                      </w:p>
                    </w:tc>
                  </w:tr>
                  <w:tr>
                    <w:trPr>
                      <w:trHeight w:hRule="exact" w:val="202"/>
                    </w:trPr>
                    <w:tc>
                      <w:tcPr>
                        <w:tcW w:type="dxa" w:w="10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are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4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CAN, Flexray, o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836"/>
                  <w:tcBorders>
                    <w:start w:sz="4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28.000000000000682" w:type="dxa"/>
                  </w:tblPr>
                  <w:tblGrid>
                    <w:gridCol w:w="945"/>
                    <w:gridCol w:w="945"/>
                    <w:gridCol w:w="945"/>
                  </w:tblGrid>
                  <w:tr>
                    <w:trPr>
                      <w:trHeight w:hRule="exact" w:val="264"/>
                    </w:trPr>
                    <w:tc>
                      <w:tcPr>
                        <w:tcW w:type="dxa" w:w="101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4" w:after="0"/>
                          <w:ind w:left="3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see 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72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9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Clock</w:t>
                        </w:r>
                      </w:p>
                    </w:tc>
                  </w:tr>
                  <w:tr>
                    <w:trPr>
                      <w:trHeight w:hRule="exact" w:val="92"/>
                    </w:trPr>
                    <w:tc>
                      <w:tcPr>
                        <w:tcW w:type="dxa" w:w="101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nt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06"/>
                    </w:trPr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72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0" w:after="0"/>
                          <w:ind w:left="9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Same H-Bridge used </w:t>
                        </w:r>
                      </w:p>
                    </w:tc>
                  </w:tr>
                  <w:tr>
                    <w:trPr>
                      <w:trHeight w:hRule="exact" w:val="184"/>
                    </w:trPr>
                    <w:tc>
                      <w:tcPr>
                        <w:tcW w:type="dxa" w:w="101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l Immunity)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06"/>
                    </w:trPr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172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two shut-down paths</w:t>
                        </w:r>
                      </w:p>
                    </w:tc>
                  </w:tr>
                  <w:tr>
                    <w:trPr>
                      <w:trHeight w:hRule="exact" w:val="84"/>
                    </w:trPr>
                    <w:tc>
                      <w:tcPr>
                        <w:tcW w:type="dxa" w:w="101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72"/>
                    </w:trPr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454"/>
                    </w:trPr>
                    <w:tc>
                      <w:tcPr>
                        <w:tcW w:type="dxa" w:w="101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unication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172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8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raw physical digital </w:t>
                        </w:r>
                      </w:p>
                    </w:tc>
                  </w:tr>
                  <w:tr>
                    <w:trPr>
                      <w:trHeight w:hRule="exact" w:val="98"/>
                    </w:trPr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2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534"/>
                    </w:trPr>
                    <w:tc>
                      <w:tcPr>
                        <w:tcW w:type="dxa" w:w="101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2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ages (e.g.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6"/>
                    </w:trPr>
                    <w:tc>
                      <w:tcPr>
                        <w:tcW w:type="dxa" w:w="101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 AUTOSAR </w:t>
                        </w:r>
                      </w:p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  <w:tc>
                      <w:tcPr>
                        <w:tcW w:type="dxa" w:w="945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582"/>
              </w:trPr>
              <w:tc>
                <w:tcPr>
                  <w:tcW w:type="dxa" w:w="686"/>
                  <w:vMerge w:val="restart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76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Connecti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same inf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source b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of which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function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the same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tion, eve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of shared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i.e. from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perspect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80" w:after="0"/>
                    <w:ind w:left="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Insuffici </w:t>
                  </w:r>
                  <w:r>
                    <w:br/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Environ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Immuni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ty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02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Same or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ical char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elements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affected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external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tal distur</w:t>
                  </w:r>
                </w:p>
              </w:tc>
              <w:tc>
                <w:tcPr>
                  <w:tcW w:type="dxa" w:w="2030"/>
                  <w:tcBorders>
                    <w:start w:sz="8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28.000000000000114" w:type="dxa"/>
                  </w:tblPr>
                  <w:tblGrid>
                    <w:gridCol w:w="677"/>
                    <w:gridCol w:w="677"/>
                    <w:gridCol w:w="677"/>
                  </w:tblGrid>
                  <w:tr>
                    <w:trPr>
                      <w:trHeight w:hRule="exact" w:val="294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4" w:after="0"/>
                          <w:ind w:left="2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on to the </w:t>
                        </w:r>
                      </w:p>
                    </w:tc>
                    <w:tc>
                      <w:tcPr>
                        <w:tcW w:type="dxa" w:w="4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17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f) </w:t>
                        </w:r>
                      </w:p>
                    </w:tc>
                    <w:tc>
                      <w:tcPr>
                        <w:tcW w:type="dxa" w:w="62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</w:t>
                        </w:r>
                      </w:p>
                    </w:tc>
                  </w:tr>
                  <w:tr>
                    <w:trPr>
                      <w:trHeight w:hRule="exact" w:val="206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ormation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2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6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envir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y means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3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the two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 consume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3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informa-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n in absence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resources,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 functional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44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2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ive.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36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6" w:after="0"/>
                          <w:ind w:left="3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ent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2"/>
                    </w:trPr>
                    <w:tc>
                      <w:tcPr>
                        <w:tcW w:type="dxa" w:w="1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mental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2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factors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82"/>
                  <w:tcBorders>
                    <w:start w:sz="4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20.0" w:type="dxa"/>
                  </w:tblPr>
                  <w:tblGrid>
                    <w:gridCol w:w="861"/>
                    <w:gridCol w:w="861"/>
                    <w:gridCol w:w="861"/>
                  </w:tblGrid>
                  <w:tr>
                    <w:trPr>
                      <w:trHeight w:hRule="exact" w:val="282"/>
                    </w:trPr>
                    <w:tc>
                      <w:tcPr>
                        <w:tcW w:type="dxa" w:w="906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4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es</w:t>
                        </w:r>
                      </w:p>
                    </w:tc>
                    <w:tc>
                      <w:tcPr>
                        <w:tcW w:type="dxa" w:w="4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5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RTE messages)</w:t>
                        </w:r>
                      </w:p>
                    </w:tc>
                  </w:tr>
                  <w:tr>
                    <w:trPr>
                      <w:trHeight w:hRule="exact" w:val="284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External physi</w:t>
                        </w:r>
                      </w:p>
                    </w:tc>
                  </w:tr>
                  <w:tr>
                    <w:trPr>
                      <w:trHeight w:hRule="exact" w:val="204"/>
                    </w:trPr>
                    <w:tc>
                      <w:tcPr>
                        <w:tcW w:type="dxa" w:w="906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59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onmental </w:t>
                        </w:r>
                      </w:p>
                    </w:tc>
                    <w:tc>
                      <w:tcPr>
                        <w:tcW w:type="dxa" w:w="4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7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(e.g. magnetic </w:t>
                        </w:r>
                      </w:p>
                    </w:tc>
                  </w:tr>
                  <w:tr>
                    <w:trPr>
                      <w:trHeight w:hRule="exact" w:val="28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remote/radio s</w:t>
                        </w:r>
                      </w:p>
                    </w:tc>
                  </w:tr>
                  <w:tr>
                    <w:trPr>
                      <w:trHeight w:hRule="exact" w:val="290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8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Readings detec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capacitive/rad</w:t>
                        </w:r>
                      </w:p>
                    </w:tc>
                  </w:tr>
                  <w:tr>
                    <w:trPr>
                      <w:trHeight w:hRule="exact" w:val="21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sensors</w:t>
                        </w:r>
                      </w:p>
                    </w:tc>
                  </w:tr>
                  <w:tr>
                    <w:trPr>
                      <w:trHeight w:hRule="exact" w:val="198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4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404"/>
                    </w:trPr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126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Mechanical co</w:t>
                        </w:r>
                      </w:p>
                    </w:tc>
                  </w:tr>
                  <w:tr>
                    <w:trPr>
                      <w:trHeight w:hRule="exact" w:val="202"/>
                    </w:trPr>
                    <w:tc>
                      <w:tcPr>
                        <w:tcW w:type="dxa" w:w="906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4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836"/>
                  <w:tcBorders>
                    <w:start w:sz="4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2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analogous signals</w:t>
                  </w:r>
                </w:p>
                <w:p>
                  <w:pPr>
                    <w:autoSpaceDN w:val="0"/>
                    <w:tabs>
                      <w:tab w:pos="54" w:val="left"/>
                    </w:tabs>
                    <w:autoSpaceDE w:val="0"/>
                    <w:widowControl/>
                    <w:spacing w:line="245" w:lineRule="auto" w:before="170" w:after="0"/>
                    <w:ind w:left="0" w:right="1872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cal signals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fields,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ignals)</w:t>
                  </w:r>
                </w:p>
                <w:p>
                  <w:pPr>
                    <w:autoSpaceDN w:val="0"/>
                    <w:tabs>
                      <w:tab w:pos="46" w:val="left"/>
                    </w:tabs>
                    <w:autoSpaceDE w:val="0"/>
                    <w:widowControl/>
                    <w:spacing w:line="245" w:lineRule="auto" w:before="170" w:after="556"/>
                    <w:ind w:left="0" w:right="1872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ted by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ar/optical 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26.000000000000227" w:type="dxa"/>
                  </w:tblPr>
                  <w:tblGrid>
                    <w:gridCol w:w="945"/>
                    <w:gridCol w:w="945"/>
                    <w:gridCol w:w="945"/>
                  </w:tblGrid>
                  <w:tr>
                    <w:trPr>
                      <w:trHeight w:hRule="exact" w:val="310"/>
                    </w:trPr>
                    <w:tc>
                      <w:tcPr>
                        <w:tcW w:type="dxa" w:w="75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upling</w:t>
                        </w:r>
                      </w:p>
                    </w:tc>
                    <w:tc>
                      <w:tcPr>
                        <w:tcW w:type="dxa" w:w="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88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68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Grade of sensitivity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580"/>
              </w:trPr>
              <w:tc>
                <w:tcPr>
                  <w:tcW w:type="dxa" w:w="2305"/>
                  <w:vMerge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</w:tcPr>
                <w:p/>
              </w:tc>
              <w:tc>
                <w:tcPr>
                  <w:tcW w:type="dxa" w:w="2030"/>
                  <w:tcBorders>
                    <w:start w:sz="8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28.000000000000114" w:type="dxa"/>
                  </w:tblPr>
                  <w:tblGrid>
                    <w:gridCol w:w="677"/>
                    <w:gridCol w:w="677"/>
                    <w:gridCol w:w="677"/>
                  </w:tblGrid>
                  <w:tr>
                    <w:trPr>
                      <w:trHeight w:hRule="exact" w:val="244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ty</w:t>
                        </w:r>
                      </w:p>
                    </w:tc>
                    <w:tc>
                      <w:tcPr>
                        <w:tcW w:type="dxa" w:w="32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h) </w:t>
                        </w:r>
                      </w:p>
                    </w:tc>
                    <w:tc>
                      <w:tcPr>
                        <w:tcW w:type="dxa" w:w="5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52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stress</w:t>
                        </w:r>
                      </w:p>
                    </w:tc>
                  </w:tr>
                  <w:tr>
                    <w:trPr>
                      <w:trHeight w:hRule="exact" w:val="120"/>
                    </w:trPr>
                    <w:tc>
                      <w:tcPr>
                        <w:tcW w:type="dxa" w:w="11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6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similar phys-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36"/>
                    </w:trPr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5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specif</w:t>
                        </w:r>
                      </w:p>
                    </w:tc>
                  </w:tr>
                  <w:tr>
                    <w:trPr>
                      <w:trHeight w:hRule="exact" w:val="184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acteristics of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, which can be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by the same 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environmen-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52"/>
                    </w:trPr>
                    <w:tc>
                      <w:tcPr>
                        <w:tcW w:type="dxa" w:w="1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5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bance</w:t>
                        </w:r>
                      </w:p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  <w:tc>
                      <w:tcPr>
                        <w:tcW w:type="dxa" w:w="677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82"/>
                  <w:tcBorders>
                    <w:start w:sz="4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6.000000000000227" w:type="dxa"/>
                  </w:tblPr>
                  <w:tblGrid>
                    <w:gridCol w:w="861"/>
                    <w:gridCol w:w="861"/>
                    <w:gridCol w:w="861"/>
                  </w:tblGrid>
                  <w:tr>
                    <w:trPr>
                      <w:trHeight w:hRule="exact" w:val="370"/>
                    </w:trPr>
                    <w:tc>
                      <w:tcPr>
                        <w:tcW w:type="dxa" w:w="9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58" w:after="0"/>
                          <w:ind w:left="1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due to </w:t>
                        </w:r>
                      </w:p>
                    </w:tc>
                    <w:tc>
                      <w:tcPr>
                        <w:tcW w:type="dxa" w:w="3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  <w:tc>
                      <w:tcPr>
                        <w:tcW w:type="dxa" w:w="12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Flammable ma</w:t>
                        </w:r>
                      </w:p>
                    </w:tc>
                  </w:tr>
                  <w:tr>
                    <w:trPr>
                      <w:trHeight w:hRule="exact" w:val="254"/>
                    </w:trPr>
                    <w:tc>
                      <w:tcPr>
                        <w:tcW w:type="dxa" w:w="9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ic situation</w:t>
                        </w:r>
                      </w:p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  <w:tc>
                      <w:tcPr>
                        <w:tcW w:type="dxa" w:w="86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836"/>
                  <w:tcBorders>
                    <w:start w:sz="4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16.000000000000227" w:type="dxa"/>
                  </w:tblPr>
                  <w:tblGrid>
                    <w:gridCol w:w="1418"/>
                    <w:gridCol w:w="1418"/>
                  </w:tblGrid>
                  <w:tr>
                    <w:trPr>
                      <w:trHeight w:hRule="exact" w:val="458"/>
                    </w:trPr>
                    <w:tc>
                      <w:tcPr>
                        <w:tcW w:type="dxa" w:w="9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terial</w:t>
                        </w:r>
                      </w:p>
                    </w:tc>
                    <w:tc>
                      <w:tcPr>
                        <w:tcW w:type="dxa" w:w="195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88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from e.g. EMI, ESD)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0" w:lineRule="auto" w:before="112" w:after="0"/>
                    <w:ind w:left="0" w:right="1584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382" w:after="0"/>
                    <w:ind w:left="0" w:right="646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particles)</w:t>
                  </w:r>
                </w:p>
                <w:p>
                  <w:pPr>
                    <w:autoSpaceDN w:val="0"/>
                    <w:tabs>
                      <w:tab w:pos="1418" w:val="left"/>
                    </w:tabs>
                    <w:autoSpaceDE w:val="0"/>
                    <w:widowControl/>
                    <w:spacing w:line="240" w:lineRule="auto" w:before="170" w:after="0"/>
                    <w:ind w:left="1016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  <w:r>
                    <w:tab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Same housing (creating 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84" w:after="0"/>
                    <w:ind w:left="141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from e.g. water entry,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humidity)</w:t>
                  </w:r>
                </w:p>
              </w:tc>
            </w:tr>
            <w:tr>
              <w:trPr>
                <w:trHeight w:hRule="exact" w:val="2578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030"/>
                  <w:tcBorders>
                    <w:start w:sz="8.0" w:val="single" w:color="#221F1F"/>
                    <w:top w:sz="4.0" w:val="single" w:color="#221F1F"/>
                    <w:end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82"/>
                  <w:tcBorders>
                    <w:start w:sz="4.0" w:val="single" w:color="#221F1F"/>
                    <w:top w:sz="4.0" w:val="single" w:color="#221F1F"/>
                    <w:end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836"/>
                  <w:tcBorders>
                    <w:start w:sz="4.0" w:val="single" w:color="#221F1F"/>
                    <w:top w:sz="4.0" w:val="single" w:color="#221F1F"/>
                    <w:end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0" w:lineRule="auto" w:before="0" w:after="0"/>
              <w:ind w:left="0" w:right="12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the potential of suffering </w:t>
            </w:r>
          </w:p>
          <w:p>
            <w:pPr>
              <w:autoSpaceDN w:val="0"/>
              <w:autoSpaceDE w:val="0"/>
              <w:widowControl/>
              <w:spacing w:line="245" w:lineRule="auto" w:before="370" w:after="0"/>
              <w:ind w:left="70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Proximity of HW elements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(creating the potential of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suffering from e.g. dust, </w:t>
            </w:r>
          </w:p>
          <w:p>
            <w:pPr>
              <w:autoSpaceDN w:val="0"/>
              <w:autoSpaceDE w:val="0"/>
              <w:widowControl/>
              <w:spacing w:line="3418" w:lineRule="auto" w:before="0" w:after="0"/>
              <w:ind w:left="7056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the potential of suffering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Sockets, plug connectors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52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Connection to sources of </w:t>
            </w:r>
          </w:p>
          <w:p>
            <w:pPr>
              <w:autoSpaceDN w:val="0"/>
              <w:autoSpaceDE w:val="0"/>
              <w:widowControl/>
              <w:spacing w:line="240" w:lineRule="auto" w:before="2568" w:after="0"/>
              <w:ind w:left="0" w:right="1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electrical effects (creating 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SW component used by 2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“Failure of shared resources” </w:t>
            </w:r>
          </w:p>
        </w:tc>
      </w:tr>
      <w:tr>
        <w:trPr>
          <w:trHeight w:hRule="exact" w:val="184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other SW components, e.g.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and “single physical root cause“ </w:t>
            </w:r>
          </w:p>
        </w:tc>
      </w:tr>
      <w:tr>
        <w:trPr>
          <w:trHeight w:hRule="exact" w:val="48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maths or other libraries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in ISO 26262-11</w:t>
            </w:r>
          </w:p>
        </w:tc>
      </w:tr>
      <w:tr>
        <w:trPr>
          <w:trHeight w:hRule="exact" w:val="392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I/O routines, drivers</w:t>
            </w:r>
          </w:p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8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“Failure of Shared resources” </w:t>
            </w:r>
          </w:p>
        </w:tc>
      </w:tr>
      <w:tr>
        <w:trPr>
          <w:trHeight w:hRule="exact" w:val="29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Hardware resource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used by more than one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software element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Constants, or variables,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being global to the two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in ISO 26262-11</w:t>
            </w:r>
          </w:p>
        </w:tc>
      </w:tr>
      <w:tr>
        <w:trPr>
          <w:trHeight w:hRule="exact" w:val="296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software functions</w:t>
            </w:r>
          </w:p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70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“Environmental faults“ in </w:t>
            </w:r>
          </w:p>
        </w:tc>
      </w:tr>
      <w:tr>
        <w:trPr>
          <w:trHeight w:hRule="exact" w:val="288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Data/function parameter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arguments/messages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delivered by software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function to more than one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604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5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other function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596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6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Not directly applicable to SW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alone. Environmental influenc-</w:t>
            </w:r>
          </w:p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ISO 26262-11</w:t>
            </w:r>
          </w:p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es that affect behaviour of soft-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ware can be considered at the </w:t>
            </w:r>
          </w:p>
        </w:tc>
        <w:tc>
          <w:tcPr>
            <w:tcW w:type="dxa" w:w="1901"/>
            <w:vMerge/>
            <w:tcBorders/>
          </w:tcPr>
          <w:p/>
        </w:tc>
      </w:tr>
      <w:tr>
        <w:trPr>
          <w:trHeight w:hRule="exact" w:val="4776"/>
        </w:trPr>
        <w:tc>
          <w:tcPr>
            <w:tcW w:type="dxa" w:w="1901"/>
            <w:vMerge/>
            <w:tcBorders/>
          </w:tcPr>
          <w:p/>
        </w:tc>
        <w:tc>
          <w:tcPr>
            <w:tcW w:type="dxa" w:w="7604"/>
            <w:gridSpan w:val="4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system and hardware levels</w:t>
            </w:r>
          </w:p>
        </w:tc>
        <w:tc>
          <w:tcPr>
            <w:tcW w:type="dxa" w:w="19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50" w:right="1440" w:bottom="0" w:left="190" w:header="720" w:footer="720" w:gutter="0"/>
          <w:cols w:space="720" w:num="1" w:equalWidth="0"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0"/>
        <w:ind w:left="0" w:right="0"/>
      </w:pPr>
    </w:p>
    <w:p>
      <w:pPr>
        <w:autoSpaceDN w:val="0"/>
        <w:autoSpaceDE w:val="0"/>
        <w:widowControl/>
        <w:spacing w:line="240" w:lineRule="auto" w:before="0" w:after="32"/>
        <w:ind w:left="0" w:right="6290" w:firstLine="0"/>
        <w:jc w:val="righ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Table C.1 </w:t>
      </w:r>
      <w:r>
        <w:rPr>
          <w:rFonts w:ascii="Cambria" w:hAnsi="Cambria" w:eastAsia="Cambria"/>
          <w:b w:val="0"/>
          <w:i/>
          <w:color w:val="221F1F"/>
          <w:sz w:val="22"/>
        </w:rPr>
        <w:t>(continued)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69"/>
        <w:gridCol w:w="5069"/>
        <w:gridCol w:w="5069"/>
      </w:tblGrid>
      <w:tr>
        <w:trPr>
          <w:trHeight w:hRule="exact" w:val="330"/>
        </w:trPr>
        <w:tc>
          <w:tcPr>
            <w:tcW w:type="dxa" w:w="55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30" w:right="0" w:firstLine="0"/>
              <w:jc w:val="left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1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38" w:after="0"/>
              <w:ind w:left="36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Communication</w:t>
            </w:r>
          </w:p>
          <w:p>
            <w:pPr>
              <w:autoSpaceDN w:val="0"/>
              <w:autoSpaceDE w:val="0"/>
              <w:widowControl/>
              <w:spacing w:line="245" w:lineRule="auto" w:before="100" w:after="0"/>
              <w:ind w:left="364" w:right="9648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An element receives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information from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another element by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means of a communi-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cation channel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26.0" w:type="dxa"/>
            </w:tblPr>
            <w:tblGrid>
              <w:gridCol w:w="2935"/>
              <w:gridCol w:w="2935"/>
              <w:gridCol w:w="2935"/>
              <w:gridCol w:w="2935"/>
            </w:tblGrid>
            <w:tr>
              <w:trPr>
                <w:trHeight w:hRule="exact" w:val="2580"/>
              </w:trPr>
              <w:tc>
                <w:tcPr>
                  <w:tcW w:type="dxa" w:w="686"/>
                  <w:tcBorders>
                    <w:start w:sz="8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12"/>
                  <w:tcBorders>
                    <w:start w:sz="8.0" w:val="single" w:color="#221F1F"/>
                    <w:top w:sz="8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8.0000000000001" w:type="dxa"/>
                  </w:tblPr>
                  <w:tblGrid>
                    <w:gridCol w:w="871"/>
                    <w:gridCol w:w="871"/>
                    <w:gridCol w:w="871"/>
                  </w:tblGrid>
                  <w:tr>
                    <w:trPr>
                      <w:trHeight w:hRule="exact" w:val="684"/>
                    </w:trPr>
                    <w:tc>
                      <w:tcPr>
                        <w:tcW w:type="dxa" w:w="208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5" w:lineRule="auto" w:before="44" w:after="0"/>
                          <w:ind w:left="288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 xml:space="preserve">Mapping to the </w:t>
                        </w:r>
                        <w:r>
                          <w:br/>
                        </w: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topics in ISO 26262-</w:t>
                        </w: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9:2018, 7.4.4</w:t>
                        </w:r>
                      </w:p>
                    </w:tc>
                    <w:tc>
                      <w:tcPr>
                        <w:tcW w:type="dxa" w:w="3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4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Ex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7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7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40"/>
                    </w:trPr>
                    <w:tc>
                      <w:tcPr>
                        <w:tcW w:type="dxa" w:w="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8" w:after="0"/>
                          <w:ind w:left="0" w:right="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b) </w:t>
                        </w:r>
                      </w:p>
                    </w:tc>
                    <w:tc>
                      <w:tcPr>
                        <w:tcW w:type="dxa" w:w="1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8" w:after="0"/>
                          <w:ind w:left="2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development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0"/>
                    </w:trPr>
                    <w:tc>
                      <w:tcPr>
                        <w:tcW w:type="dxa" w:w="208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0" w:right="95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8" w:after="0"/>
                          <w:ind w:left="0" w:right="2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c) </w:t>
                        </w:r>
                      </w:p>
                    </w:tc>
                    <w:tc>
                      <w:tcPr>
                        <w:tcW w:type="dxa" w:w="1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manufacturing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0"/>
                    </w:trPr>
                    <w:tc>
                      <w:tcPr>
                        <w:tcW w:type="dxa" w:w="208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0" w:right="95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8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d) </w:t>
                        </w:r>
                      </w:p>
                    </w:tc>
                    <w:tc>
                      <w:tcPr>
                        <w:tcW w:type="dxa" w:w="1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8" w:after="0"/>
                          <w:ind w:left="2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installation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56"/>
                    </w:trPr>
                    <w:tc>
                      <w:tcPr>
                        <w:tcW w:type="dxa" w:w="2080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0" w:right="95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10"/>
                  <w:tcBorders>
                    <w:start w:sz="4.0" w:val="single" w:color="#221F1F"/>
                    <w:top w:sz="8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80" w:after="0"/>
                    <w:ind w:left="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Examples at the system level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474" w:after="0"/>
                    <w:ind w:left="18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Identical production processe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70" w:after="0"/>
                    <w:ind w:left="18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Identical repair processes use</w:t>
                  </w:r>
                </w:p>
              </w:tc>
              <w:tc>
                <w:tcPr>
                  <w:tcW w:type="dxa" w:w="2612"/>
                  <w:tcBorders>
                    <w:start w:sz="4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80" w:after="0"/>
                    <w:ind w:left="0" w:right="288" w:firstLine="0"/>
                    <w:jc w:val="center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Examples at the hardware 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level</w:t>
                  </w:r>
                </w:p>
                <w:p>
                  <w:pPr>
                    <w:autoSpaceDN w:val="0"/>
                    <w:tabs>
                      <w:tab w:pos="2434" w:val="left"/>
                    </w:tabs>
                    <w:autoSpaceDE w:val="0"/>
                    <w:widowControl/>
                    <w:spacing w:line="240" w:lineRule="auto" w:before="276" w:after="0"/>
                    <w:ind w:left="2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s used for multiple elements</w:t>
                  </w:r>
                  <w:r>
                    <w:tab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70" w:after="0"/>
                    <w:ind w:left="34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d for multiple elements.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84" w:after="0"/>
                    <w:ind w:left="0" w:right="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368" w:after="0"/>
                    <w:ind w:left="0" w:right="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</w:p>
              </w:tc>
            </w:tr>
            <w:tr>
              <w:trPr>
                <w:trHeight w:hRule="exact" w:val="2582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12"/>
                  <w:tcBorders>
                    <w:start w:sz="8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8.0000000000001" w:type="dxa"/>
                  </w:tblPr>
                  <w:tblGrid>
                    <w:gridCol w:w="871"/>
                    <w:gridCol w:w="871"/>
                    <w:gridCol w:w="871"/>
                  </w:tblGrid>
                  <w:tr>
                    <w:trPr>
                      <w:trHeight w:hRule="exact" w:val="262"/>
                    </w:trPr>
                    <w:tc>
                      <w:tcPr>
                        <w:tcW w:type="dxa" w:w="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9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e) </w:t>
                        </w:r>
                      </w:p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service faults</w:t>
                        </w:r>
                      </w:p>
                    </w:tc>
                    <w:tc>
                      <w:tcPr>
                        <w:tcW w:type="dxa" w:w="2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32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0" w:after="0"/>
                          <w:ind w:left="0" w:right="8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h) </w:t>
                        </w:r>
                      </w:p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stress due to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58"/>
                    </w:trPr>
                    <w:tc>
                      <w:tcPr>
                        <w:tcW w:type="dxa" w:w="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90" w:after="0"/>
                          <w:ind w:left="0" w:right="9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a) </w:t>
                        </w:r>
                      </w:p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specific situation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42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random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0"/>
                    </w:trPr>
                    <w:tc>
                      <w:tcPr>
                        <w:tcW w:type="dxa" w:w="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76" w:after="0"/>
                          <w:ind w:left="0" w:right="8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b) </w:t>
                        </w:r>
                      </w:p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hardware </w:t>
                        </w:r>
                      </w:p>
                    </w:tc>
                    <w:tc>
                      <w:tcPr>
                        <w:tcW w:type="dxa" w:w="2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78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90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failures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90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development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44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2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10"/>
                  <w:tcBorders>
                    <w:start w:sz="4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4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91.99999999999989" w:type="dxa"/>
                  </w:tblPr>
                  <w:tblGrid>
                    <w:gridCol w:w="1255"/>
                    <w:gridCol w:w="1255"/>
                  </w:tblGrid>
                  <w:tr>
                    <w:trPr>
                      <w:trHeight w:hRule="exact" w:val="910"/>
                    </w:trPr>
                    <w:tc>
                      <w:tcPr>
                        <w:tcW w:type="dxa" w:w="20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5" w:lineRule="auto" w:before="60" w:after="0"/>
                          <w:ind w:left="96" w:right="144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Same type of actuator/ </w:t>
                        </w: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power stage e.g. motor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72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Same type of sensors</w:t>
                        </w:r>
                      </w:p>
                    </w:tc>
                    <w:tc>
                      <w:tcPr>
                        <w:tcW w:type="dxa" w:w="35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—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7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—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338" w:lineRule="auto" w:before="310" w:after="0"/>
                    <w:ind w:left="2304" w:right="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—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—</w:t>
                  </w:r>
                </w:p>
              </w:tc>
              <w:tc>
                <w:tcPr>
                  <w:tcW w:type="dxa" w:w="2612"/>
                  <w:tcBorders>
                    <w:start w:sz="4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4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2.000000000000455" w:type="dxa"/>
                  </w:tblPr>
                  <w:tblGrid>
                    <w:gridCol w:w="871"/>
                    <w:gridCol w:w="871"/>
                    <w:gridCol w:w="871"/>
                  </w:tblGrid>
                  <w:tr>
                    <w:trPr>
                      <w:trHeight w:hRule="exact" w:val="262"/>
                    </w:trPr>
                    <w:tc>
                      <w:tcPr>
                        <w:tcW w:type="dxa" w:w="12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2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2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Same type of HW parts </w:t>
                        </w:r>
                      </w:p>
                    </w:tc>
                    <w:tc>
                      <w:tcPr>
                        <w:tcW w:type="dxa" w:w="23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92"/>
                    </w:trPr>
                    <w:tc>
                      <w:tcPr>
                        <w:tcW w:type="dxa" w:w="12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7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and components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8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Same power supply ICs for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92"/>
                    </w:trPr>
                    <w:tc>
                      <w:tcPr>
                        <w:tcW w:type="dxa" w:w="12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78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different microcontrollers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68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Same microcontroller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2"/>
                    </w:trPr>
                    <w:tc>
                      <w:tcPr>
                        <w:tcW w:type="dxa" w:w="12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22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0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Same ASICs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580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12"/>
                  <w:vMerge w:val="restart"/>
                  <w:tcBorders>
                    <w:start w:sz="8.0" w:val="single" w:color="#221F1F"/>
                    <w:top w:sz="4.0" w:val="single" w:color="#221F1F"/>
                    <w:end w:sz="4.0" w:val="single" w:color="#221F1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7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38.0000000000001" w:type="dxa"/>
                  </w:tblPr>
                  <w:tblGrid>
                    <w:gridCol w:w="871"/>
                    <w:gridCol w:w="871"/>
                    <w:gridCol w:w="871"/>
                  </w:tblGrid>
                  <w:tr>
                    <w:trPr>
                      <w:trHeight w:hRule="exact" w:val="252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11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a) </w:t>
                        </w:r>
                      </w:p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random </w:t>
                        </w:r>
                      </w:p>
                    </w:tc>
                    <w:tc>
                      <w:tcPr>
                        <w:tcW w:type="dxa" w:w="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10"/>
                    </w:trPr>
                    <w:tc>
                      <w:tcPr>
                        <w:tcW w:type="dxa" w:w="5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68" w:after="0"/>
                          <w:ind w:left="0" w:right="10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b) </w:t>
                        </w:r>
                      </w:p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hardware </w:t>
                        </w:r>
                      </w:p>
                    </w:tc>
                    <w:tc>
                      <w:tcPr>
                        <w:tcW w:type="dxa" w:w="3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86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92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failures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78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6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development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2"/>
                    </w:trPr>
                    <w:tc>
                      <w:tcPr>
                        <w:tcW w:type="dxa" w:w="5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68" w:after="0"/>
                          <w:ind w:left="0" w:right="92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d) </w:t>
                        </w:r>
                      </w:p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78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6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installation 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2"/>
                    </w:trPr>
                    <w:tc>
                      <w:tcPr>
                        <w:tcW w:type="dxa" w:w="58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88" w:after="0"/>
                          <w:ind w:left="0" w:right="11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e) </w:t>
                        </w:r>
                      </w:p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78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repair faults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40"/>
                    </w:trPr>
                    <w:tc>
                      <w:tcPr>
                        <w:tcW w:type="dxa" w:w="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90" w:after="0"/>
                          <w:ind w:left="0" w:right="144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i) </w:t>
                        </w:r>
                      </w:p>
                    </w:tc>
                    <w:tc>
                      <w:tcPr>
                        <w:tcW w:type="dxa" w:w="1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9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ageing and wear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2510"/>
                  <w:tcBorders>
                    <w:start w:sz="4.0" w:val="single" w:color="#221F1F"/>
                    <w:top w:sz="4.0" w:val="single" w:color="#221F1F"/>
                    <w:end w:sz="4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7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91.99999999999989" w:type="dxa"/>
                  </w:tblPr>
                  <w:tblGrid>
                    <w:gridCol w:w="1255"/>
                    <w:gridCol w:w="1255"/>
                  </w:tblGrid>
                  <w:tr>
                    <w:trPr>
                      <w:trHeight w:hRule="exact" w:val="728"/>
                    </w:trPr>
                    <w:tc>
                      <w:tcPr>
                        <w:tcW w:type="dxa" w:w="21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5" w:lineRule="auto" w:before="60" w:after="0"/>
                          <w:ind w:left="9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CAN connection between </w:t>
                        </w: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two ECUs of the same </w:t>
                        </w:r>
                        <w:r>
                          <w:br/>
                        </w: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system</w:t>
                        </w:r>
                      </w:p>
                    </w:tc>
                    <w:tc>
                      <w:tcPr>
                        <w:tcW w:type="dxa" w:w="25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—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5" w:lineRule="auto" w:before="110" w:after="0"/>
                    <w:ind w:left="188" w:right="288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Communication between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two microcontrollers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within the same ECU</w:t>
                  </w:r>
                </w:p>
              </w:tc>
              <w:tc>
                <w:tcPr>
                  <w:tcW w:type="dxa" w:w="2612"/>
                  <w:tcBorders>
                    <w:start w:sz="4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7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2.000000000000455" w:type="dxa"/>
                  </w:tblPr>
                  <w:tblGrid>
                    <w:gridCol w:w="871"/>
                    <w:gridCol w:w="871"/>
                    <w:gridCol w:w="871"/>
                  </w:tblGrid>
                  <w:tr>
                    <w:trPr>
                      <w:trHeight w:hRule="exact" w:val="252"/>
                    </w:trPr>
                    <w:tc>
                      <w:tcPr>
                        <w:tcW w:type="dxa" w:w="12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2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Electrical connection </w:t>
                        </w:r>
                      </w:p>
                    </w:tc>
                    <w:tc>
                      <w:tcPr>
                        <w:tcW w:type="dxa" w:w="43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210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2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between two HW </w:t>
                        </w:r>
                      </w:p>
                    </w:tc>
                    <w:tc>
                      <w:tcPr>
                        <w:tcW w:type="dxa" w:w="43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88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— </w:t>
                        </w:r>
                      </w:p>
                    </w:tc>
                  </w:tr>
                  <w:tr>
                    <w:trPr>
                      <w:trHeight w:hRule="exact" w:val="450"/>
                    </w:trPr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  <w:tc>
                      <w:tcPr>
                        <w:tcW w:type="dxa" w:w="2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92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elements</w:t>
                        </w:r>
                      </w:p>
                    </w:tc>
                    <w:tc>
                      <w:tcPr>
                        <w:tcW w:type="dxa" w:w="871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0" w:lineRule="auto" w:before="110" w:after="0"/>
                    <w:ind w:left="0" w:right="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— </w:t>
                  </w:r>
                </w:p>
              </w:tc>
            </w:tr>
            <w:tr>
              <w:trPr>
                <w:trHeight w:hRule="exact" w:val="2578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935"/>
                  <w:vMerge/>
                  <w:tcBorders>
                    <w:start w:sz="8.0" w:val="single" w:color="#221F1F"/>
                    <w:top w:sz="4.0" w:val="single" w:color="#221F1F"/>
                    <w:end w:sz="4.0" w:val="single" w:color="#221F1F"/>
                  </w:tcBorders>
                </w:tcPr>
                <w:p/>
              </w:tc>
              <w:tc>
                <w:tcPr>
                  <w:tcW w:type="dxa" w:w="2510"/>
                  <w:tcBorders>
                    <w:start w:sz="4.0" w:val="single" w:color="#221F1F"/>
                    <w:top w:sz="4.0" w:val="single" w:color="#221F1F"/>
                    <w:end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12"/>
                  <w:tcBorders>
                    <w:start w:sz="4.0" w:val="single" w:color="#221F1F"/>
                    <w:top w:sz="4.0" w:val="single" w:color="#221F1F"/>
                    <w:end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5" w:lineRule="auto" w:before="0" w:after="0"/>
              <w:ind w:left="927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SW module instance called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from different locations is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rather considered as a Shared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Resource.</w:t>
            </w:r>
          </w:p>
          <w:p>
            <w:pPr>
              <w:autoSpaceDN w:val="0"/>
              <w:autoSpaceDE w:val="0"/>
              <w:widowControl/>
              <w:spacing w:line="245" w:lineRule="auto" w:before="78" w:after="0"/>
              <w:ind w:left="9674" w:right="432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Data flow via global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variables</w:t>
            </w:r>
          </w:p>
          <w:p>
            <w:pPr>
              <w:autoSpaceDN w:val="0"/>
              <w:autoSpaceDE w:val="0"/>
              <w:widowControl/>
              <w:spacing w:line="240" w:lineRule="auto" w:before="170" w:after="0"/>
              <w:ind w:left="0" w:right="1234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Messaging</w:t>
            </w:r>
          </w:p>
          <w:p>
            <w:pPr>
              <w:autoSpaceDN w:val="0"/>
              <w:tabs>
                <w:tab w:pos="9450" w:val="left"/>
                <w:tab w:pos="9674" w:val="left"/>
                <w:tab w:pos="10316" w:val="left"/>
              </w:tabs>
              <w:autoSpaceDE w:val="0"/>
              <w:widowControl/>
              <w:spacing w:line="2042" w:lineRule="auto" w:before="0" w:after="0"/>
              <w:ind w:left="382" w:right="0" w:firstLine="0"/>
              <w:jc w:val="left"/>
            </w:pP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Function calls with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arguments passed </w:t>
            </w: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Coupling factor class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software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level</w:t>
            </w:r>
          </w:p>
          <w:p>
            <w:pPr>
              <w:autoSpaceDN w:val="0"/>
              <w:tabs>
                <w:tab w:pos="9674" w:val="left"/>
              </w:tabs>
              <w:autoSpaceDE w:val="0"/>
              <w:widowControl/>
              <w:spacing w:line="240" w:lineRule="auto" w:before="0" w:after="0"/>
              <w:ind w:left="36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Systematic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Same software tools e.g. </w:t>
            </w:r>
          </w:p>
          <w:p>
            <w:pPr>
              <w:autoSpaceDN w:val="0"/>
              <w:tabs>
                <w:tab w:pos="9674" w:val="left"/>
              </w:tabs>
              <w:autoSpaceDE w:val="0"/>
              <w:widowControl/>
              <w:spacing w:line="245" w:lineRule="auto" w:before="0" w:after="0"/>
              <w:ind w:left="36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Coupling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IDE, compiler, linker,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software configurator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Failure of elements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due to a common sys-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Same programming and/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tematic human error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or modelling language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or tool error.</w:t>
            </w:r>
          </w:p>
          <w:p>
            <w:pPr>
              <w:autoSpaceDN w:val="0"/>
              <w:autoSpaceDE w:val="0"/>
              <w:widowControl/>
              <w:spacing w:line="240" w:lineRule="auto" w:before="44" w:after="0"/>
              <w:ind w:left="0" w:right="352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Same compiler/linker</w:t>
            </w:r>
          </w:p>
          <w:p>
            <w:pPr>
              <w:autoSpaceDN w:val="0"/>
              <w:tabs>
                <w:tab w:pos="9272" w:val="left"/>
                <w:tab w:pos="9674" w:val="left"/>
              </w:tabs>
              <w:autoSpaceDE w:val="0"/>
              <w:widowControl/>
              <w:spacing w:line="245" w:lineRule="auto" w:before="1042" w:after="0"/>
              <w:ind w:left="364" w:right="144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Components of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The same source code </w:t>
            </w: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Identical Type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expanded twice, e.g. by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usage of C macros 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Multiple instances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of identical or very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similar components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can jointly fail due to a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common cause failure.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NOTE: the same library in-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stance or the same standard 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</w:t>
            </w:r>
          </w:p>
        </w:tc>
      </w:tr>
      <w:tr>
        <w:trPr>
          <w:trHeight w:hRule="exact" w:val="34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semiconductor level</w:t>
            </w:r>
          </w:p>
        </w:tc>
      </w:tr>
      <w:tr>
        <w:trPr>
          <w:trHeight w:hRule="exact" w:val="34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“Development faults”, “Manu-</w:t>
            </w:r>
          </w:p>
        </w:tc>
      </w:tr>
      <w:tr>
        <w:trPr>
          <w:trHeight w:hRule="exact" w:val="20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facturing faults”, “Installation </w:t>
            </w:r>
          </w:p>
        </w:tc>
      </w:tr>
      <w:tr>
        <w:trPr>
          <w:trHeight w:hRule="exact" w:val="20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faults”, and “Repair faults” in </w:t>
            </w:r>
          </w:p>
        </w:tc>
      </w:tr>
      <w:tr>
        <w:trPr>
          <w:trHeight w:hRule="exact" w:val="110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ISO 26262-11</w:t>
            </w:r>
          </w:p>
        </w:tc>
      </w:tr>
      <w:tr>
        <w:trPr>
          <w:trHeight w:hRule="exact" w:val="112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1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“Development faults“ in </w:t>
            </w:r>
          </w:p>
        </w:tc>
      </w:tr>
      <w:tr>
        <w:trPr>
          <w:trHeight w:hRule="exact" w:val="124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ISO 26262-11</w:t>
            </w:r>
          </w:p>
        </w:tc>
      </w:tr>
      <w:tr>
        <w:trPr>
          <w:trHeight w:hRule="exact" w:val="126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8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“Failure of shared resourc-</w:t>
            </w:r>
          </w:p>
        </w:tc>
      </w:tr>
      <w:tr>
        <w:trPr>
          <w:trHeight w:hRule="exact" w:val="20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es” and “single physical root </w:t>
            </w:r>
          </w:p>
        </w:tc>
      </w:tr>
      <w:tr>
        <w:trPr>
          <w:trHeight w:hRule="exact" w:val="200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cause“ with semiconductors in </w:t>
            </w:r>
          </w:p>
        </w:tc>
      </w:tr>
      <w:tr>
        <w:trPr>
          <w:trHeight w:hRule="exact" w:val="3816"/>
        </w:trPr>
        <w:tc>
          <w:tcPr>
            <w:tcW w:type="dxa" w:w="5069"/>
            <w:vMerge/>
            <w:tcBorders/>
          </w:tcPr>
          <w:p/>
        </w:tc>
        <w:tc>
          <w:tcPr>
            <w:tcW w:type="dxa" w:w="5069"/>
            <w:vMerge/>
            <w:tcBorders/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ISO 26262-11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690" w:right="1440" w:bottom="0" w:left="190" w:header="720" w:footer="720" w:gutter="0"/>
          <w:cols w:space="720" w:num="1" w:equalWidth="0">
            <w:col w:w="15208" w:space="0"/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240" w:lineRule="auto" w:before="0" w:after="102"/>
        <w:ind w:left="0" w:right="6290" w:firstLine="0"/>
        <w:jc w:val="right"/>
      </w:pPr>
      <w:r>
        <w:rPr>
          <w:rFonts w:ascii="Cambria" w:hAnsi="Cambria" w:eastAsia="Cambria"/>
          <w:b/>
          <w:i w:val="0"/>
          <w:color w:val="221F1F"/>
          <w:sz w:val="22"/>
        </w:rPr>
        <w:t xml:space="preserve">Table C.1 </w:t>
      </w:r>
      <w:r>
        <w:rPr>
          <w:rFonts w:ascii="Cambria" w:hAnsi="Cambria" w:eastAsia="Cambria"/>
          <w:b w:val="0"/>
          <w:i/>
          <w:color w:val="221F1F"/>
          <w:sz w:val="22"/>
        </w:rPr>
        <w:t>(continued)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21"/>
        <w:gridCol w:w="1521"/>
        <w:gridCol w:w="1521"/>
        <w:gridCol w:w="1521"/>
        <w:gridCol w:w="1521"/>
        <w:gridCol w:w="1521"/>
        <w:gridCol w:w="1521"/>
        <w:gridCol w:w="1521"/>
        <w:gridCol w:w="1521"/>
        <w:gridCol w:w="1521"/>
      </w:tblGrid>
      <w:tr>
        <w:trPr>
          <w:trHeight w:hRule="exact" w:val="260"/>
        </w:trPr>
        <w:tc>
          <w:tcPr>
            <w:tcW w:type="dxa" w:w="53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30" w:right="0" w:firstLine="0"/>
              <w:jc w:val="left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40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Coupling factor class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Mapping to the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Examples at the system level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21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hardware 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25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software 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 xml:space="preserve">Examples at the </w:t>
            </w:r>
          </w:p>
        </w:tc>
      </w:tr>
      <w:tr>
        <w:trPr>
          <w:trHeight w:hRule="exact" w:val="204"/>
        </w:trPr>
        <w:tc>
          <w:tcPr>
            <w:tcW w:type="dxa" w:w="1521"/>
            <w:vMerge/>
            <w:tcBorders/>
          </w:tcPr>
          <w:p/>
        </w:tc>
        <w:tc>
          <w:tcPr>
            <w:tcW w:type="dxa" w:w="4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74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topics in ISO 26262-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8" w:after="0"/>
              <w:ind w:left="9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One functionality </w:t>
            </w:r>
          </w:p>
        </w:tc>
        <w:tc>
          <w:tcPr>
            <w:tcW w:type="dxa" w:w="2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level</w:t>
            </w:r>
          </w:p>
        </w:tc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022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level</w:t>
            </w:r>
          </w:p>
        </w:tc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semiconductor level</w:t>
            </w:r>
          </w:p>
        </w:tc>
      </w:tr>
      <w:tr>
        <w:trPr>
          <w:trHeight w:hRule="exact" w:val="144"/>
        </w:trPr>
        <w:tc>
          <w:tcPr>
            <w:tcW w:type="dxa" w:w="1521"/>
            <w:vMerge/>
            <w:tcBorders/>
          </w:tcPr>
          <w:p/>
        </w:tc>
        <w:tc>
          <w:tcPr>
            <w:tcW w:type="dxa" w:w="4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380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18"/>
              </w:rPr>
              <w:t>9:2018, 7.4.4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5.99999999999994" w:type="dxa"/>
            </w:tblPr>
            <w:tblGrid>
              <w:gridCol w:w="2030"/>
              <w:gridCol w:w="2030"/>
            </w:tblGrid>
            <w:tr>
              <w:trPr>
                <w:trHeight w:hRule="exact" w:val="2580"/>
              </w:trPr>
              <w:tc>
                <w:tcPr>
                  <w:tcW w:type="dxa" w:w="686"/>
                  <w:tcBorders>
                    <w:start w:sz="8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86" w:after="0"/>
                    <w:ind w:left="8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 xml:space="preserve">Uninten </w:t>
                  </w:r>
                  <w:r>
                    <w:br/>
                  </w:r>
                  <w:r>
                    <w:rPr>
                      <w:rFonts w:ascii="Cambria" w:hAnsi="Cambria" w:eastAsia="Cambria"/>
                      <w:b/>
                      <w:i w:val="0"/>
                      <w:color w:val="221F1F"/>
                      <w:sz w:val="18"/>
                    </w:rPr>
                    <w:t>Interface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00" w:after="0"/>
                    <w:ind w:left="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Two ele </w:t>
                  </w:r>
                  <w:r>
                    <w:br/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ing each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 xml:space="preserve">via an un 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221F1F"/>
                      <w:sz w:val="18"/>
                    </w:rPr>
                    <w:t>interface</w:t>
                  </w:r>
                </w:p>
              </w:tc>
              <w:tc>
                <w:tcPr>
                  <w:tcW w:type="dxa" w:w="2426"/>
                  <w:tcBorders>
                    <w:start w:sz="8.0" w:val="single" w:color="#221F1F"/>
                    <w:top w:sz="8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45.99999999999994" w:type="dxa"/>
                  </w:tblPr>
                  <w:tblGrid>
                    <w:gridCol w:w="809"/>
                    <w:gridCol w:w="809"/>
                    <w:gridCol w:w="809"/>
                  </w:tblGrid>
                  <w:tr>
                    <w:trPr>
                      <w:trHeight w:hRule="exact" w:val="242"/>
                    </w:trPr>
                    <w:tc>
                      <w:tcPr>
                        <w:tcW w:type="dxa" w:w="1204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0" w:after="0"/>
                          <w:ind w:left="4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ded</w:t>
                        </w:r>
                      </w:p>
                    </w:tc>
                    <w:tc>
                      <w:tcPr>
                        <w:tcW w:type="dxa" w:w="3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a) </w:t>
                        </w:r>
                      </w:p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random </w:t>
                        </w:r>
                      </w:p>
                    </w:tc>
                  </w:tr>
                  <w:tr>
                    <w:trPr>
                      <w:trHeight w:hRule="exact" w:val="208"/>
                    </w:trPr>
                    <w:tc>
                      <w:tcPr>
                        <w:tcW w:type="dxa" w:w="1204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4" w:after="0"/>
                          <w:ind w:left="46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/>
                            <w:i w:val="0"/>
                            <w:color w:val="221F1F"/>
                            <w:sz w:val="18"/>
                          </w:rPr>
                          <w:t>e</w:t>
                        </w:r>
                      </w:p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6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b) </w:t>
                        </w:r>
                      </w:p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hardware </w:t>
                        </w:r>
                      </w:p>
                    </w:tc>
                  </w:tr>
                  <w:tr>
                    <w:trPr>
                      <w:trHeight w:hRule="exact" w:val="58"/>
                    </w:trPr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103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failures</w:t>
                        </w:r>
                      </w:p>
                    </w:tc>
                  </w:tr>
                  <w:tr>
                    <w:trPr>
                      <w:trHeight w:hRule="exact" w:val="243"/>
                    </w:trPr>
                    <w:tc>
                      <w:tcPr>
                        <w:tcW w:type="dxa" w:w="1204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4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ments affect-</w:t>
                        </w:r>
                      </w:p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09"/>
                    </w:trPr>
                    <w:tc>
                      <w:tcPr>
                        <w:tcW w:type="dxa" w:w="1204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other directly </w:t>
                        </w:r>
                      </w:p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1038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58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development </w:t>
                        </w:r>
                      </w:p>
                    </w:tc>
                  </w:tr>
                  <w:tr>
                    <w:trPr>
                      <w:trHeight w:hRule="exact" w:val="62"/>
                    </w:trPr>
                    <w:tc>
                      <w:tcPr>
                        <w:tcW w:type="dxa" w:w="1204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88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anticipated </w:t>
                        </w:r>
                      </w:p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68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d) </w:t>
                        </w:r>
                      </w:p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</w:tr>
                  <w:tr>
                    <w:trPr>
                      <w:trHeight w:hRule="exact" w:val="282"/>
                    </w:trPr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70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installation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34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8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h) </w:t>
                        </w:r>
                      </w:p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>faults</w:t>
                        </w:r>
                      </w:p>
                    </w:tc>
                  </w:tr>
                  <w:tr>
                    <w:trPr>
                      <w:trHeight w:hRule="exact" w:val="338"/>
                    </w:trPr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809"/>
                        <w:vMerge/>
                        <w:tcBorders/>
                      </w:tcPr>
                      <w:p/>
                    </w:tc>
                    <w:tc>
                      <w:tcPr>
                        <w:tcW w:type="dxa" w:w="1038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86" w:after="0"/>
                          <w:ind w:left="100" w:right="0" w:firstLine="0"/>
                          <w:jc w:val="left"/>
                        </w:pPr>
                        <w:r>
                          <w:rPr>
                            <w:rFonts w:ascii="Cambria" w:hAnsi="Cambria" w:eastAsia="Cambria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stress due to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2582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2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80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26"/>
                  <w:tcBorders>
                    <w:start w:sz="8.0" w:val="single" w:color="#221F1F"/>
                    <w:top w:sz="4.0" w:val="single" w:color="#221F1F"/>
                    <w:end w:sz="8.0" w:val="single" w:color="#221F1F"/>
                    <w:bottom w:sz="4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78"/>
              </w:trPr>
              <w:tc>
                <w:tcPr>
                  <w:tcW w:type="dxa" w:w="686"/>
                  <w:tcBorders>
                    <w:start w:sz="8.0" w:val="single" w:color="#221F1F"/>
                    <w:top w:sz="4.0" w:val="single" w:color="#221F1F"/>
                    <w:end w:sz="8.0" w:val="single" w:color="#221F1F"/>
                  </w:tcBorders>
                  <w:shd w:fill="d9d9d9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426"/>
                  <w:tcBorders>
                    <w:start w:sz="8.0" w:val="single" w:color="#221F1F"/>
                    <w:top w:sz="4.0" w:val="single" w:color="#221F1F"/>
                    <w:end w:sz="8.0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0" w:lineRule="auto" w:before="0" w:after="0"/>
              <w:ind w:left="0" w:right="46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specific situation</w:t>
            </w:r>
          </w:p>
        </w:tc>
        <w:tc>
          <w:tcPr>
            <w:tcW w:type="dxa" w:w="1521"/>
            <w:vMerge/>
            <w:tcBorders/>
          </w:tcPr>
          <w:p/>
        </w:tc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1521"/>
            <w:vMerge/>
            <w:tcBorders/>
          </w:tcPr>
          <w:p/>
        </w:tc>
      </w:tr>
      <w:tr>
        <w:trPr>
          <w:trHeight w:hRule="exact" w:val="332"/>
        </w:trPr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1521"/>
            <w:vMerge/>
            <w:tcBorders/>
          </w:tcPr>
          <w:p/>
        </w:tc>
        <w:tc>
          <w:tcPr>
            <w:tcW w:type="dxa" w:w="1521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Proximity of HW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—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9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Same memory space 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“Single physical root cause” </w:t>
            </w:r>
          </w:p>
        </w:tc>
      </w:tr>
      <w:tr>
        <w:trPr>
          <w:trHeight w:hRule="exact" w:val="200"/>
        </w:trPr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overruling the other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elements, creating the 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which means a potential 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originating from a semiconduc-</w:t>
            </w:r>
          </w:p>
        </w:tc>
      </w:tr>
      <w:tr>
        <w:trPr>
          <w:trHeight w:hRule="exact" w:val="200"/>
        </w:trPr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because of missing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potential of crosstalk 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of wrong memory </w:t>
            </w:r>
          </w:p>
        </w:tc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tor (see ISO 26262-11)</w:t>
            </w:r>
          </w:p>
        </w:tc>
      </w:tr>
      <w:tr>
        <w:trPr>
          <w:trHeight w:hRule="exact" w:val="200"/>
        </w:trPr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2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6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synchronization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between signal lines, heat 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allocation or memory </w:t>
            </w:r>
          </w:p>
        </w:tc>
        <w:tc>
          <w:tcPr>
            <w:tcW w:type="dxa" w:w="1521"/>
            <w:vMerge/>
            <w:tcBorders/>
          </w:tcPr>
          <w:p/>
        </w:tc>
      </w:tr>
      <w:tr>
        <w:trPr>
          <w:trHeight w:hRule="exact" w:val="9416"/>
        </w:trPr>
        <w:tc>
          <w:tcPr>
            <w:tcW w:type="dxa" w:w="1521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3042"/>
            <w:gridSpan w:val="2"/>
            <w:vMerge/>
            <w:tcBorders/>
          </w:tcPr>
          <w:p/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impact, interference etc.</w:t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74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leaks</w:t>
            </w:r>
          </w:p>
        </w:tc>
        <w:tc>
          <w:tcPr>
            <w:tcW w:type="dxa" w:w="152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6838" w:h="11906"/>
          <w:pgMar w:top="350" w:right="1440" w:bottom="0" w:left="190" w:header="720" w:footer="720" w:gutter="0"/>
          <w:cols w:space="720" w:num="1" w:equalWidth="0">
            <w:col w:w="15208" w:space="0"/>
            <w:col w:w="15208" w:space="0"/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68" w:firstLine="0"/>
        <w:jc w:val="righ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p>
      <w:pPr>
        <w:autoSpaceDN w:val="0"/>
        <w:autoSpaceDE w:val="0"/>
        <w:widowControl/>
        <w:spacing w:line="240" w:lineRule="auto" w:before="698" w:after="582"/>
        <w:ind w:left="0" w:right="3992" w:firstLine="0"/>
        <w:jc w:val="right"/>
      </w:pPr>
      <w:r>
        <w:rPr>
          <w:rFonts w:ascii="Cambria" w:hAnsi="Cambria" w:eastAsia="Cambria"/>
          <w:b/>
          <w:i w:val="0"/>
          <w:color w:val="221F1F"/>
          <w:sz w:val="32"/>
        </w:rPr>
        <w:t>Bibliography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09"/>
        <w:gridCol w:w="2209"/>
        <w:gridCol w:w="2209"/>
        <w:gridCol w:w="2209"/>
        <w:gridCol w:w="2209"/>
      </w:tblGrid>
      <w:tr>
        <w:trPr>
          <w:trHeight w:hRule="exact" w:val="298"/>
        </w:trPr>
        <w:tc>
          <w:tcPr>
            <w:tcW w:type="dxa" w:w="71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[1] 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IEC 61508 (all parts), </w:t>
            </w: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>Functional safety of electrical/electronic/programmable electronic safety-</w:t>
            </w:r>
          </w:p>
        </w:tc>
      </w:tr>
      <w:tr>
        <w:trPr>
          <w:trHeight w:hRule="exact" w:val="340"/>
        </w:trPr>
        <w:tc>
          <w:tcPr>
            <w:tcW w:type="dxa" w:w="2209"/>
            <w:vMerge/>
            <w:tcBorders/>
          </w:tcPr>
          <w:p/>
        </w:tc>
        <w:tc>
          <w:tcPr>
            <w:tcW w:type="dxa" w:w="10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1198" w:right="0" w:firstLine="0"/>
              <w:jc w:val="left"/>
            </w:pP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>related systems</w:t>
            </w:r>
          </w:p>
        </w:tc>
      </w:tr>
      <w:tr>
        <w:trPr>
          <w:trHeight w:hRule="exact" w:val="340"/>
        </w:trPr>
        <w:tc>
          <w:tcPr>
            <w:tcW w:type="dxa" w:w="2209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[2] 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3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Lovric  T. (ZF TRW), Metz P. (Brose), Schnellbach A. (Magna), Dependent Failure Analysis in </w:t>
            </w:r>
          </w:p>
        </w:tc>
      </w:tr>
      <w:tr>
        <w:trPr>
          <w:trHeight w:hRule="exact" w:val="320"/>
        </w:trPr>
        <w:tc>
          <w:tcPr>
            <w:tcW w:type="dxa" w:w="2209"/>
            <w:vMerge/>
            <w:tcBorders/>
          </w:tcPr>
          <w:p/>
        </w:tc>
        <w:tc>
          <w:tcPr>
            <w:tcW w:type="dxa" w:w="10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9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Practice, VDA Sys Conference, July 6th–8th  2016, Berlin</w:t>
            </w:r>
          </w:p>
        </w:tc>
      </w:tr>
      <w:tr>
        <w:trPr>
          <w:trHeight w:hRule="exact" w:val="340"/>
        </w:trPr>
        <w:tc>
          <w:tcPr>
            <w:tcW w:type="dxa" w:w="2209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[3] 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3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Schnellbach, </w:t>
            </w: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>Magna Powertrain, Dependent Failure Analysis, The MPT approach</w:t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, Safetronic. </w:t>
            </w:r>
          </w:p>
        </w:tc>
      </w:tr>
      <w:tr>
        <w:trPr>
          <w:trHeight w:hRule="exact" w:val="340"/>
        </w:trPr>
        <w:tc>
          <w:tcPr>
            <w:tcW w:type="dxa" w:w="2209"/>
            <w:vMerge/>
            <w:tcBorders/>
          </w:tcPr>
          <w:p/>
        </w:tc>
        <w:tc>
          <w:tcPr>
            <w:tcW w:type="dxa" w:w="10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>2014 — Functional Safety in Automotive conference, 11th–12th Nov, 2014, Stuttgart</w:t>
            </w:r>
          </w:p>
        </w:tc>
      </w:tr>
      <w:tr>
        <w:trPr>
          <w:trHeight w:hRule="exact" w:val="338"/>
        </w:trPr>
        <w:tc>
          <w:tcPr>
            <w:tcW w:type="dxa" w:w="2209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[4] </w:t>
            </w:r>
          </w:p>
        </w:tc>
        <w:tc>
          <w:tcPr>
            <w:tcW w:type="dxa" w:w="95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3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ISO 26262-11:2018, </w:t>
            </w: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 xml:space="preserve">Road vehicles - Functional safety - Part 11: Guidelines on application of ISO </w:t>
            </w:r>
          </w:p>
        </w:tc>
      </w:tr>
      <w:tr>
        <w:trPr>
          <w:trHeight w:hRule="exact" w:val="322"/>
        </w:trPr>
        <w:tc>
          <w:tcPr>
            <w:tcW w:type="dxa" w:w="2209"/>
            <w:vMerge/>
            <w:tcBorders/>
          </w:tcPr>
          <w:p/>
        </w:tc>
        <w:tc>
          <w:tcPr>
            <w:tcW w:type="dxa" w:w="10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98" w:right="0" w:firstLine="0"/>
              <w:jc w:val="left"/>
            </w:pP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>26262 to semiconductors</w:t>
            </w:r>
          </w:p>
        </w:tc>
      </w:tr>
      <w:tr>
        <w:trPr>
          <w:trHeight w:hRule="exact" w:val="5580"/>
        </w:trPr>
        <w:tc>
          <w:tcPr>
            <w:tcW w:type="dxa" w:w="2209"/>
            <w:vMerge/>
            <w:tcBorders/>
          </w:tcPr>
          <w:p/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178" w:firstLine="0"/>
              <w:jc w:val="righ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[5] </w:t>
            </w:r>
          </w:p>
        </w:tc>
        <w:tc>
          <w:tcPr>
            <w:tcW w:type="dxa" w:w="9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22"/>
              </w:rPr>
              <w:t xml:space="preserve">ISO 26262-12:2018, </w:t>
            </w:r>
            <w:r>
              <w:rPr>
                <w:rFonts w:ascii="Cambria" w:hAnsi="Cambria" w:eastAsia="Cambria"/>
                <w:b w:val="0"/>
                <w:i/>
                <w:color w:val="221F1F"/>
                <w:sz w:val="22"/>
              </w:rPr>
              <w:t>Road vehicles - Functional safety - Part 12: Adaptation for motorcycles</w:t>
            </w:r>
          </w:p>
        </w:tc>
      </w:tr>
      <w:tr>
        <w:trPr>
          <w:trHeight w:hRule="exact" w:val="5598"/>
        </w:trPr>
        <w:tc>
          <w:tcPr>
            <w:tcW w:type="dxa" w:w="2209"/>
            <w:vMerge/>
            <w:tcBorders/>
          </w:tcPr>
          <w:p/>
        </w:tc>
        <w:tc>
          <w:tcPr>
            <w:tcW w:type="dxa" w:w="6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80" w:after="0"/>
              <w:ind w:left="51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 xml:space="preserve">© ISO 2018 – All rights reserved 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42" w:after="0"/>
              <w:ind w:left="0" w:right="52" w:firstLine="0"/>
              <w:jc w:val="right"/>
            </w:pPr>
            <w:r>
              <w:rPr>
                <w:rFonts w:ascii="Cambria" w:hAnsi="Cambria" w:eastAsia="Cambria"/>
                <w:b/>
                <w:i w:val="0"/>
                <w:color w:val="221F1F"/>
                <w:sz w:val="22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334" w:right="670" w:bottom="200" w:left="190" w:header="720" w:footer="720" w:gutter="0"/>
          <w:cols w:space="720" w:num="1" w:equalWidth="0">
            <w:col w:w="11046" w:space="0"/>
            <w:col w:w="15208" w:space="0"/>
            <w:col w:w="15208" w:space="0"/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18"/>
        <w:ind w:left="0" w:right="0"/>
      </w:pPr>
    </w:p>
    <w:p>
      <w:pPr>
        <w:autoSpaceDN w:val="0"/>
        <w:autoSpaceDE w:val="0"/>
        <w:widowControl/>
        <w:spacing w:line="180" w:lineRule="auto" w:before="0" w:after="0"/>
        <w:ind w:left="0" w:right="282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2"/>
        </w:rPr>
        <w:t>This page is intentionally blank.</w:t>
      </w:r>
    </w:p>
    <w:p>
      <w:pPr>
        <w:autoSpaceDN w:val="0"/>
        <w:autoSpaceDE w:val="0"/>
        <w:widowControl/>
        <w:spacing w:line="194" w:lineRule="exact" w:before="3570" w:after="0"/>
        <w:ind w:left="0" w:right="0" w:firstLine="0"/>
        <w:jc w:val="left"/>
      </w:pPr>
      <w:r>
        <w:rPr>
          <w:rFonts w:ascii="Helvetica" w:hAnsi="Helvetica" w:eastAsia="Helvetica"/>
          <w:b/>
          <w:i/>
          <w:color w:val="4C4C4C"/>
          <w:sz w:val="14"/>
        </w:rPr>
        <w:t>Normen-Download-Beuth-Lisa DrÃ¤xlmaier GmbH-KdNr.280437-LfNr.8702078001-2019-01-10 07:58</w:t>
      </w:r>
    </w:p>
    <w:p>
      <w:pPr>
        <w:sectPr>
          <w:pgSz w:w="11906" w:h="16838"/>
          <w:pgMar w:top="1440" w:right="1440" w:bottom="200" w:left="190" w:header="720" w:footer="720" w:gutter="0"/>
          <w:cols w:space="720" w:num="1" w:equalWidth="0">
            <w:col w:w="10276" w:space="0"/>
            <w:col w:w="11046" w:space="0"/>
            <w:col w:w="15208" w:space="0"/>
            <w:col w:w="15208" w:space="0"/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18"/>
        <w:ind w:left="0" w:right="0"/>
      </w:pPr>
    </w:p>
    <w:p>
      <w:pPr>
        <w:autoSpaceDN w:val="0"/>
        <w:autoSpaceDE w:val="0"/>
        <w:widowControl/>
        <w:spacing w:line="180" w:lineRule="auto" w:before="0" w:after="0"/>
        <w:ind w:left="0" w:right="282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2"/>
        </w:rPr>
        <w:t>This page is intentionally blank.</w:t>
      </w:r>
    </w:p>
    <w:p>
      <w:pPr>
        <w:autoSpaceDN w:val="0"/>
        <w:autoSpaceDE w:val="0"/>
        <w:widowControl/>
        <w:spacing w:line="194" w:lineRule="exact" w:before="3570" w:after="0"/>
        <w:ind w:left="0" w:right="0" w:firstLine="0"/>
        <w:jc w:val="left"/>
      </w:pPr>
      <w:r>
        <w:rPr>
          <w:rFonts w:ascii="Helvetica" w:hAnsi="Helvetica" w:eastAsia="Helvetica"/>
          <w:b/>
          <w:i/>
          <w:color w:val="4C4C4C"/>
          <w:sz w:val="14"/>
        </w:rPr>
        <w:t>Normen-Download-Beuth-Lisa DrÃ¤xlmaier GmbH-KdNr.280437-LfNr.8702078001-2019-01-10 07:58</w:t>
      </w:r>
    </w:p>
    <w:p>
      <w:pPr>
        <w:sectPr>
          <w:pgSz w:w="11906" w:h="16838"/>
          <w:pgMar w:top="1440" w:right="1440" w:bottom="200" w:left="190" w:header="720" w:footer="720" w:gutter="0"/>
          <w:cols w:space="720" w:num="1" w:equalWidth="0">
            <w:col w:w="10276" w:space="0"/>
            <w:col w:w="10276" w:space="0"/>
            <w:col w:w="11046" w:space="0"/>
            <w:col w:w="15208" w:space="0"/>
            <w:col w:w="15208" w:space="0"/>
            <w:col w:w="15208" w:space="0"/>
            <w:col w:w="9820" w:space="0"/>
            <w:col w:w="9818" w:space="0"/>
            <w:col w:w="9820" w:space="0"/>
            <w:col w:w="9790" w:space="0"/>
            <w:col w:w="9790" w:space="0"/>
            <w:col w:w="9790" w:space="0"/>
            <w:col w:w="983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18" w:space="0"/>
            <w:col w:w="9826" w:space="0"/>
            <w:col w:w="9818" w:space="0"/>
            <w:col w:w="9820" w:space="0"/>
            <w:col w:w="9818" w:space="0"/>
            <w:col w:w="9820" w:space="0"/>
            <w:col w:w="9818" w:space="0"/>
            <w:col w:w="9820" w:space="0"/>
            <w:col w:w="9820" w:space="0"/>
            <w:col w:w="9820" w:space="0"/>
            <w:col w:w="9820" w:space="0"/>
            <w:col w:w="9840" w:space="0"/>
            <w:col w:w="9770" w:space="0"/>
            <w:col w:w="9826" w:space="0"/>
            <w:col w:w="9818" w:space="0"/>
            <w:col w:w="9820" w:space="0"/>
            <w:col w:w="9770" w:space="0"/>
            <w:col w:w="9770" w:space="0"/>
            <w:col w:w="9810" w:space="0"/>
            <w:col w:w="110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0" w:lineRule="auto" w:before="0" w:after="8886"/>
        <w:ind w:left="548" w:right="0" w:firstLine="0"/>
        <w:jc w:val="left"/>
      </w:pPr>
      <w:r>
        <w:rPr>
          <w:rFonts w:ascii="Cambria" w:hAnsi="Cambria" w:eastAsia="Cambria"/>
          <w:b/>
          <w:i w:val="0"/>
          <w:color w:val="221F1F"/>
          <w:sz w:val="24"/>
        </w:rPr>
        <w:t>ISO 26262-9:2018(E)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62"/>
        <w:gridCol w:w="5162"/>
      </w:tblGrid>
      <w:tr>
        <w:trPr>
          <w:trHeight w:hRule="exact" w:val="6584"/>
        </w:trPr>
        <w:tc>
          <w:tcPr>
            <w:tcW w:type="dxa" w:w="37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/>
                <w:color w:val="4C4C4C"/>
                <w:sz w:val="14"/>
              </w:rPr>
              <w:t>Normen-Download-Beuth-Lisa DrÃ¤xlmaier GmbH-KdNr.280437-LfNr.8702078001-2019-01-10 07:58</w:t>
            </w:r>
          </w:p>
        </w:tc>
        <w:tc>
          <w:tcPr>
            <w:tcW w:type="dxa" w:w="6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5444" w:after="0"/>
              <w:ind w:left="178" w:right="4176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221F1F"/>
                <w:sz w:val="24"/>
              </w:rPr>
              <w:t xml:space="preserve">ICS 43.040.10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Price based on 29 pages</w:t>
            </w:r>
          </w:p>
          <w:p>
            <w:pPr>
              <w:autoSpaceDN w:val="0"/>
              <w:autoSpaceDE w:val="0"/>
              <w:widowControl/>
              <w:spacing w:line="240" w:lineRule="auto" w:before="272" w:after="0"/>
              <w:ind w:left="17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221F1F"/>
                <w:sz w:val="18"/>
              </w:rPr>
              <w:t>© ISO 2018 – All rights reserved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334" w:right="1392" w:bottom="200" w:left="190" w:header="720" w:footer="720" w:gutter="0"/>
      <w:cols w:space="720" w:num="1" w:equalWidth="0">
        <w:col w:w="10324" w:space="0"/>
        <w:col w:w="10276" w:space="0"/>
        <w:col w:w="10276" w:space="0"/>
        <w:col w:w="11046" w:space="0"/>
        <w:col w:w="15208" w:space="0"/>
        <w:col w:w="15208" w:space="0"/>
        <w:col w:w="15208" w:space="0"/>
        <w:col w:w="9820" w:space="0"/>
        <w:col w:w="9818" w:space="0"/>
        <w:col w:w="9820" w:space="0"/>
        <w:col w:w="9790" w:space="0"/>
        <w:col w:w="9790" w:space="0"/>
        <w:col w:w="9790" w:space="0"/>
        <w:col w:w="9830" w:space="0"/>
        <w:col w:w="9818" w:space="0"/>
        <w:col w:w="9820" w:space="0"/>
        <w:col w:w="9818" w:space="0"/>
        <w:col w:w="9820" w:space="0"/>
        <w:col w:w="9820" w:space="0"/>
        <w:col w:w="9820" w:space="0"/>
        <w:col w:w="9818" w:space="0"/>
        <w:col w:w="9826" w:space="0"/>
        <w:col w:w="9818" w:space="0"/>
        <w:col w:w="9820" w:space="0"/>
        <w:col w:w="9818" w:space="0"/>
        <w:col w:w="9820" w:space="0"/>
        <w:col w:w="9818" w:space="0"/>
        <w:col w:w="9820" w:space="0"/>
        <w:col w:w="9820" w:space="0"/>
        <w:col w:w="9820" w:space="0"/>
        <w:col w:w="9820" w:space="0"/>
        <w:col w:w="9840" w:space="0"/>
        <w:col w:w="9770" w:space="0"/>
        <w:col w:w="9826" w:space="0"/>
        <w:col w:w="9818" w:space="0"/>
        <w:col w:w="9820" w:space="0"/>
        <w:col w:w="9770" w:space="0"/>
        <w:col w:w="9770" w:space="0"/>
        <w:col w:w="9810" w:space="0"/>
        <w:col w:w="110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www.iso.org/directives" TargetMode="External"/><Relationship Id="rId12" Type="http://schemas.openxmlformats.org/officeDocument/2006/relationships/hyperlink" Target="http://www.iso.org/patents" TargetMode="External"/><Relationship Id="rId13" Type="http://schemas.openxmlformats.org/officeDocument/2006/relationships/hyperlink" Target="http://www.iso.org/iso/foreword.html" TargetMode="External"/><Relationship Id="rId14" Type="http://schemas.openxmlformats.org/officeDocument/2006/relationships/hyperlink" Target="https://www.iso.org/members.html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yperlink" Target="http://www.electropedia.org/" TargetMode="External"/><Relationship Id="rId28" Type="http://schemas.openxmlformats.org/officeDocument/2006/relationships/hyperlink" Target="https://www.iso.org/obp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