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4.png" ContentType="image/png"/>
  <Override PartName="/word/media/image3.png" ContentType="image/png"/>
  <Override PartName="/word/media/image5.png" ContentType="image/png"/>
  <Override PartName="/word/media/image6.png" ContentType="image/png"/>
  <Override PartName="/word/media/image2.png" ContentType="image/png"/>
  <Override PartName="/word/media/image7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/>
      </w:pPr>
      <w:r>
        <w:rPr>
          <w:b/>
          <w:sz w:val="30"/>
        </w:rPr>
        <w:t>МГТУ им. Н.Э. Баумана</w:t>
      </w:r>
    </w:p>
    <w:p>
      <w:pPr>
        <w:pStyle w:val="Normal"/>
        <w:ind w:hanging="0"/>
        <w:rPr/>
      </w:pPr>
      <w:r>
        <w:rPr/>
        <w:br/>
      </w:r>
    </w:p>
    <w:p>
      <w:pPr>
        <w:pStyle w:val="Normal"/>
        <w:ind w:hanging="0"/>
        <w:jc w:val="center"/>
        <w:rPr/>
      </w:pPr>
      <w:r>
        <w:rPr>
          <w:b/>
          <w:sz w:val="32"/>
        </w:rPr>
        <w:t>Лабораторная работа №2</w:t>
      </w:r>
    </w:p>
    <w:p>
      <w:pPr>
        <w:pStyle w:val="Normal"/>
        <w:ind w:hanging="0"/>
        <w:jc w:val="center"/>
        <w:rPr/>
      </w:pPr>
      <w:r>
        <w:rPr>
          <w:b w:val="false"/>
          <w:sz w:val="28"/>
        </w:rPr>
        <w:t>Анализ кардиологического датасета и бинарная классификация</w:t>
        <w:br/>
        <w:t>признака Healthy_Status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jc w:val="start"/>
        <w:rPr/>
      </w:pPr>
      <w:r>
        <w:rPr>
          <w:sz w:val="24"/>
        </w:rPr>
        <w:t>Студент: САМАРА СУЛЕЙМАН</w:t>
      </w:r>
    </w:p>
    <w:p>
      <w:pPr>
        <w:pStyle w:val="Normal"/>
        <w:ind w:hanging="0"/>
        <w:jc w:val="start"/>
        <w:rPr/>
      </w:pPr>
      <w:r>
        <w:rPr>
          <w:sz w:val="24"/>
        </w:rPr>
        <w:t>Группа: ИУ1И-41М</w:t>
      </w:r>
    </w:p>
    <w:p>
      <w:pPr>
        <w:pStyle w:val="Normal"/>
        <w:ind w:hanging="0"/>
        <w:jc w:val="start"/>
        <w:rPr/>
      </w:pPr>
      <w:r>
        <w:rPr>
          <w:sz w:val="24"/>
        </w:rPr>
        <w:t xml:space="preserve">Дата: </w:t>
      </w:r>
      <w:r>
        <w:rPr>
          <w:sz w:val="24"/>
        </w:rPr>
        <w:t xml:space="preserve">22 </w:t>
      </w:r>
      <w:r>
        <w:rPr>
          <w:sz w:val="24"/>
        </w:rPr>
        <w:t>марта 2026 г.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jc w:val="center"/>
        <w:rPr/>
      </w:pPr>
      <w:r>
        <w:rPr>
          <w:sz w:val="24"/>
        </w:rPr>
        <w:t>Москва - 2026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ind w:hanging="0" w:start="0"/>
        <w:rPr/>
      </w:pPr>
      <w:r>
        <w:rPr/>
      </w:r>
    </w:p>
    <w:p>
      <w:pPr>
        <w:pStyle w:val="Heading1"/>
        <w:ind w:hanging="0"/>
        <w:jc w:val="center"/>
        <w:rPr/>
      </w:pPr>
      <w:r>
        <w:rPr/>
        <w:t>1. Введение</w:t>
      </w:r>
    </w:p>
    <w:p>
      <w:pPr>
        <w:pStyle w:val="Normal"/>
        <w:rPr/>
      </w:pPr>
      <w:r>
        <w:rPr/>
        <w:t>Целью данной лабораторной работы является обработка кардиологического набора данных, содержащего числовые параметры электрокардиограммы, и решение задачи бинарной классификации по признаку Healthy_Status. В рамках работы выполняются предварительная очистка данных, исследовательский анализ признаков, снижение размерности и автоматический подбор модели классификации.</w:t>
      </w:r>
    </w:p>
    <w:p>
      <w:pPr>
        <w:pStyle w:val="Normal"/>
        <w:rPr/>
      </w:pPr>
      <w:r>
        <w:rPr/>
        <w:t>Актуальность исследования связана с тем, что параметры ЭКГ отражают состояние сердечно-сосудистой системы и могут использоваться для построения систем поддержки принятия решений. Методы машинного обучения позволяют автоматизировать анализ числовых характеристик ЭКГ и выявлять зависимости, которые сложно оценить вручную.</w:t>
      </w:r>
    </w:p>
    <w:p>
      <w:pPr>
        <w:pStyle w:val="Normal"/>
        <w:rPr/>
      </w:pPr>
      <w:r>
        <w:rPr/>
        <w:t>В качестве исходных данных используется файл «модуль 3 - датасет - практика.csv». В соответствии с условием лабораторной работы для анализа выбираются только первые 5000 строк и ограниченный набор признаков. Для итоговой бинарной классификации используется целевой признак Healthy_Status.</w:t>
      </w:r>
    </w:p>
    <w:p>
      <w:pPr>
        <w:pStyle w:val="Normal"/>
        <w:ind w:hanging="0"/>
        <w:rPr/>
      </w:pPr>
      <w:r>
        <w:rPr/>
        <w:t>Ссылка на GitHub-репозиторий: https://github.com/samara-suleiman/lab2_samara_ecg_automl</w:t>
      </w:r>
    </w:p>
    <w:p>
      <w:pPr>
        <w:pStyle w:val="Heading1"/>
        <w:ind w:hanging="0"/>
        <w:jc w:val="center"/>
        <w:rPr/>
      </w:pPr>
      <w:r>
        <w:rPr/>
        <w:t>2. Постановка задачи</w:t>
      </w:r>
    </w:p>
    <w:p>
      <w:pPr>
        <w:pStyle w:val="Normal"/>
        <w:rPr/>
      </w:pPr>
      <w:r>
        <w:rPr/>
        <w:t>В рамках лабораторной работы необходимо решить следующие задачи:</w:t>
      </w:r>
    </w:p>
    <w:p>
      <w:pPr>
        <w:pStyle w:val="Normal"/>
        <w:ind w:hanging="227" w:start="397"/>
        <w:rPr/>
      </w:pPr>
      <w:r>
        <w:rPr/>
        <w:t xml:space="preserve">• </w:t>
      </w:r>
      <w:r>
        <w:rPr/>
        <w:t>загрузить первые 5000 строк кардиологического датасета;</w:t>
      </w:r>
    </w:p>
    <w:p>
      <w:pPr>
        <w:pStyle w:val="Normal"/>
        <w:ind w:hanging="227" w:start="397"/>
        <w:rPr/>
      </w:pPr>
      <w:r>
        <w:rPr/>
        <w:t xml:space="preserve">• </w:t>
      </w:r>
      <w:r>
        <w:rPr/>
        <w:t>сформировать рабочую выборку из столбцов Count_subj, rr_interval, p_end, qrs_onset, qrs_end, p_axis, qrs_axis, t_axis и Healthy_Status;</w:t>
      </w:r>
    </w:p>
    <w:p>
      <w:pPr>
        <w:pStyle w:val="Normal"/>
        <w:ind w:hanging="227" w:start="397"/>
        <w:rPr/>
      </w:pPr>
      <w:r>
        <w:rPr/>
        <w:t xml:space="preserve">• </w:t>
      </w:r>
      <w:r>
        <w:rPr/>
        <w:t>выполнить предварительную обработку данных и удалить пропуски;</w:t>
      </w:r>
    </w:p>
    <w:p>
      <w:pPr>
        <w:pStyle w:val="Normal"/>
        <w:ind w:hanging="227" w:start="397"/>
        <w:rPr/>
      </w:pPr>
      <w:r>
        <w:rPr/>
        <w:t xml:space="preserve">• </w:t>
      </w:r>
      <w:r>
        <w:rPr/>
        <w:t>проанализировать выбросы и при необходимости выполнить IQR-очистку;</w:t>
      </w:r>
    </w:p>
    <w:p>
      <w:pPr>
        <w:pStyle w:val="Normal"/>
        <w:ind w:hanging="227" w:start="397"/>
        <w:rPr/>
      </w:pPr>
      <w:r>
        <w:rPr/>
        <w:t xml:space="preserve">• </w:t>
      </w:r>
      <w:r>
        <w:rPr/>
        <w:t>исследовать взаимосвязи между признаками с помощью корреляционной матрицы и pairplot;</w:t>
      </w:r>
    </w:p>
    <w:p>
      <w:pPr>
        <w:pStyle w:val="Normal"/>
        <w:ind w:hanging="227" w:start="397"/>
        <w:rPr/>
      </w:pPr>
      <w:r>
        <w:rPr/>
        <w:t xml:space="preserve">• </w:t>
      </w:r>
      <w:r>
        <w:rPr/>
        <w:t>выполнить двумерную визуализацию данных с помощью PCA и t-SNE;</w:t>
      </w:r>
    </w:p>
    <w:p>
      <w:pPr>
        <w:pStyle w:val="Normal"/>
        <w:ind w:hanging="227" w:start="397"/>
        <w:rPr/>
      </w:pPr>
      <w:r>
        <w:rPr/>
        <w:t xml:space="preserve">• </w:t>
      </w:r>
      <w:r>
        <w:rPr/>
        <w:t>применить AutoML-фреймворк для подбора классификатора;</w:t>
      </w:r>
    </w:p>
    <w:p>
      <w:pPr>
        <w:pStyle w:val="Normal"/>
        <w:ind w:hanging="227" w:start="397"/>
        <w:rPr/>
      </w:pPr>
      <w:r>
        <w:rPr/>
        <w:t xml:space="preserve">• </w:t>
      </w:r>
      <w:r>
        <w:rPr/>
        <w:t>построить confusion matrix и рассчитать метрику F1-score.</w:t>
      </w:r>
    </w:p>
    <w:p>
      <w:pPr>
        <w:pStyle w:val="Normal"/>
        <w:rPr/>
      </w:pPr>
      <w:r>
        <w:rPr/>
        <w:t>Таким образом, основная задача работы состоит в построении классификатора, способного определять значение признака Healthy_Status на основе числовых параметров ЭКГ.</w:t>
      </w:r>
    </w:p>
    <w:p>
      <w:pPr>
        <w:pStyle w:val="Heading1"/>
        <w:ind w:hanging="0"/>
        <w:jc w:val="center"/>
        <w:rPr/>
      </w:pPr>
      <w:r>
        <w:rPr/>
        <w:t>3. Описание исходных данных</w:t>
      </w:r>
    </w:p>
    <w:p>
      <w:pPr>
        <w:pStyle w:val="Normal"/>
        <w:rPr/>
      </w:pPr>
      <w:r>
        <w:rPr/>
        <w:t>Для эксперимента используется кардиологический датасет, содержащий числовые параметры электрокардиограммы и целевой бинарный признак Healthy_Status. В исследовании используются только восемь исходных признаков и один целевой столбец.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4677"/>
        <w:gridCol w:w="4677"/>
      </w:tblGrid>
      <w:tr>
        <w:trPr/>
        <w:tc>
          <w:tcPr>
            <w:tcW w:w="4677" w:type="dxa"/>
            <w:tcBorders/>
            <w:shd w:fill="D9EAF7"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Признак</w:t>
            </w:r>
          </w:p>
        </w:tc>
        <w:tc>
          <w:tcPr>
            <w:tcW w:w="4677" w:type="dxa"/>
            <w:tcBorders/>
            <w:shd w:fill="D9EAF7"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Краткое описание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Count_subj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идентификатор / порядковый номер наблюдения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rr_interval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RR-интервал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p_end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момент окончания зубца P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qrs_onset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начало комплекса QRS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qrs_end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окончание комплекса QRS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p_axis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ось P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qrs_axis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ось QRS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t_axis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ось T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Healthy_Status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целевой бинарный признак</w:t>
            </w:r>
          </w:p>
        </w:tc>
      </w:tr>
    </w:tbl>
    <w:p>
      <w:pPr>
        <w:pStyle w:val="Normal"/>
        <w:rPr/>
      </w:pPr>
      <w:r>
        <w:rPr/>
        <w:t>Целевой столбец Healthy_Status приводится к бинарному формату 0/1 при необходимости. Это позволяет корректно обучать классификационные модели и использовать стандартные метрики качества.</w:t>
      </w:r>
    </w:p>
    <w:p>
      <w:pPr>
        <w:pStyle w:val="Heading1"/>
        <w:ind w:hanging="0"/>
        <w:jc w:val="center"/>
        <w:rPr/>
      </w:pPr>
      <w:r>
        <w:rPr/>
        <w:t>4. Предварительная обработка данных</w:t>
      </w:r>
    </w:p>
    <w:p>
      <w:pPr>
        <w:pStyle w:val="Normal"/>
        <w:rPr/>
      </w:pPr>
      <w:r>
        <w:rPr/>
        <w:t>На этапе подготовки данных выполняются следующие действия: загрузка первых 5000 строк файла, выбор только требуемых столбцов, проверка типов данных, анализ наличия пропусков и преобразование целевого признака к бинарному виду.</w:t>
      </w:r>
    </w:p>
    <w:p>
      <w:pPr>
        <w:pStyle w:val="Normal"/>
        <w:rPr/>
      </w:pPr>
      <w:r>
        <w:rPr/>
        <w:t>После этого из выборки удаляются строки с пропущенными значениями. Дополнительно выполняется очистка выбросов методом межквартильного размаха (IQR), что позволяет уменьшить влияние экстремальных наблюдений на дальнейший анализ и обучение модели.</w:t>
      </w:r>
    </w:p>
    <w:p>
      <w:pPr>
        <w:pStyle w:val="Normal"/>
        <w:spacing w:before="0" w:after="120"/>
        <w:ind w:hanging="0"/>
        <w:jc w:val="center"/>
        <w:rPr/>
      </w:pPr>
      <w:r>
        <w:rPr>
          <w:i w:val="false"/>
          <w:sz w:val="24"/>
        </w:rPr>
        <w:t>IQR = Q3 - Q1</w:t>
      </w:r>
    </w:p>
    <w:p>
      <w:pPr>
        <w:pStyle w:val="Normal"/>
        <w:spacing w:before="0" w:after="120"/>
        <w:ind w:hanging="0"/>
        <w:jc w:val="center"/>
        <w:rPr/>
      </w:pPr>
      <w:r>
        <w:rPr>
          <w:i w:val="false"/>
          <w:sz w:val="24"/>
        </w:rPr>
        <w:t>[Q1 - 1.5 · IQR ; Q3 + 1.5 · IQR]</w:t>
      </w:r>
    </w:p>
    <w:p>
      <w:pPr>
        <w:pStyle w:val="Normal"/>
        <w:rPr/>
      </w:pPr>
      <w:r>
        <w:rPr/>
        <w:t>Наблюдение считается выбросом, если значение признака выходит за пределы указанного интервала. Для повышения устойчивости последующей классификации выбросы удаляются по всем числовым признакам.</w:t>
      </w:r>
    </w:p>
    <w:p>
      <w:pPr>
        <w:pStyle w:val="Heading1"/>
        <w:ind w:hanging="0"/>
        <w:jc w:val="center"/>
        <w:rPr/>
      </w:pPr>
      <w:r>
        <w:rPr/>
        <w:t>5. Исследовательский анализ данных</w:t>
      </w:r>
    </w:p>
    <w:p>
      <w:pPr>
        <w:pStyle w:val="Heading2"/>
        <w:ind w:hanging="0"/>
        <w:rPr/>
      </w:pPr>
      <w:r>
        <w:rPr/>
        <w:t>5.1 Анализ выбросов</w:t>
      </w:r>
    </w:p>
    <w:p>
      <w:pPr>
        <w:pStyle w:val="Normal"/>
        <w:rPr/>
      </w:pPr>
      <w:r>
        <w:rPr/>
        <w:t>Для первичного анализа распределений признаков строятся boxplot-диаграммы до и после очистки. Такой подход позволяет визуально оценить наличие экстремальных значений и понять, насколько сильно выбросы искажают диапазоны числовых параметров.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9355"/>
      </w:tblGrid>
      <w:tr>
        <w:trPr>
          <w:trHeight w:val="3288" w:hRule="atLeast"/>
        </w:trPr>
        <w:tc>
          <w:tcPr>
            <w:tcW w:w="9355" w:type="dxa"/>
            <w:tcBorders>
              <w:top w:val="single" w:sz="8" w:space="0" w:color="AAB2C5"/>
              <w:start w:val="single" w:sz="8" w:space="0" w:color="AAB2C5"/>
              <w:bottom w:val="single" w:sz="8" w:space="0" w:color="AAB2C5"/>
              <w:end w:val="single" w:sz="8" w:space="0" w:color="AAB2C5"/>
            </w:tcBorders>
            <w:shd w:fill="FAFAFA"/>
          </w:tcPr>
          <w:p>
            <w:pPr>
              <w:pStyle w:val="Normal"/>
              <w:ind w:hanging="0"/>
              <w:jc w:val="center"/>
              <w:rPr/>
            </w:pPr>
            <w:r>
              <w:rPr>
                <w:i/>
                <w:color w:val="5A5A5A"/>
                <w:sz w:val="22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237934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2379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i/>
                <w:color w:val="5A5A5A"/>
                <w:sz w:val="22"/>
              </w:rPr>
              <w:br/>
            </w:r>
          </w:p>
        </w:tc>
      </w:tr>
    </w:tbl>
    <w:p>
      <w:pPr>
        <w:pStyle w:val="Normal"/>
        <w:jc w:val="center"/>
        <w:rPr/>
      </w:pPr>
      <w:r>
        <w:rPr/>
        <w:t>Рис. 1. Boxplot числовых признаков до удаления выбросов</w:t>
      </w:r>
    </w:p>
    <w:p>
      <w:pPr>
        <w:pStyle w:val="Normal"/>
        <w:rPr/>
      </w:pPr>
      <w:r>
        <w:rPr/>
        <w:t>По исходным boxplot-диаграммам обычно видно, что часть признаков содержит заметные выбросы, которые могут негативно повлиять на обучение классификатора.</w:t>
      </w:r>
    </w:p>
    <w:tbl>
      <w:tblPr>
        <w:tblW w:w="97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9716"/>
      </w:tblGrid>
      <w:tr>
        <w:trPr>
          <w:trHeight w:val="3288" w:hRule="atLeast"/>
        </w:trPr>
        <w:tc>
          <w:tcPr>
            <w:tcW w:w="9716" w:type="dxa"/>
            <w:tcBorders>
              <w:top w:val="single" w:sz="8" w:space="0" w:color="AAB2C5"/>
              <w:start w:val="single" w:sz="8" w:space="0" w:color="AAB2C5"/>
              <w:bottom w:val="single" w:sz="8" w:space="0" w:color="AAB2C5"/>
              <w:end w:val="single" w:sz="8" w:space="0" w:color="AAB2C5"/>
            </w:tcBorders>
            <w:shd w:fill="FAFAFA"/>
          </w:tcPr>
          <w:p>
            <w:pPr>
              <w:pStyle w:val="Normal"/>
              <w:ind w:hanging="0"/>
              <w:jc w:val="center"/>
              <w:rPr>
                <w:i/>
                <w:i/>
                <w:color w:val="5A5A5A"/>
                <w:sz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233553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2335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jc w:val="center"/>
        <w:rPr/>
      </w:pPr>
      <w:r>
        <w:rPr/>
        <w:t>Рис. 2. Boxplot числовых признаков после удаления выбросов</w:t>
      </w:r>
    </w:p>
    <w:p>
      <w:pPr>
        <w:pStyle w:val="Normal"/>
        <w:rPr/>
      </w:pPr>
      <w:r>
        <w:rPr/>
        <w:t>После применения IQR-очистки распределения становятся более компактными, а влияние экстремальных наблюдений снижается.</w:t>
      </w:r>
    </w:p>
    <w:p>
      <w:pPr>
        <w:pStyle w:val="Heading2"/>
        <w:ind w:hanging="0"/>
        <w:rPr/>
      </w:pPr>
      <w:r>
        <w:rPr/>
        <w:t>5.2 Корреляционный анализ</w:t>
      </w:r>
    </w:p>
    <w:p>
      <w:pPr>
        <w:pStyle w:val="Normal"/>
        <w:rPr/>
      </w:pPr>
      <w:r>
        <w:rPr/>
        <w:t>Для изучения линейных взаимосвязей между признаками строится корреляционная матрица. Она позволяет определить, какие ЭКГ-параметры меняются согласованно и какие признаки несут частично избыточную информацию.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9355"/>
      </w:tblGrid>
      <w:tr>
        <w:trPr>
          <w:trHeight w:val="3402" w:hRule="atLeast"/>
        </w:trPr>
        <w:tc>
          <w:tcPr>
            <w:tcW w:w="9355" w:type="dxa"/>
            <w:tcBorders>
              <w:top w:val="single" w:sz="8" w:space="0" w:color="AAB2C5"/>
              <w:start w:val="single" w:sz="8" w:space="0" w:color="AAB2C5"/>
              <w:bottom w:val="single" w:sz="8" w:space="0" w:color="AAB2C5"/>
              <w:end w:val="single" w:sz="8" w:space="0" w:color="AAB2C5"/>
            </w:tcBorders>
            <w:shd w:fill="FAFAFA"/>
          </w:tcPr>
          <w:p>
            <w:pPr>
              <w:pStyle w:val="Normal"/>
              <w:ind w:hanging="0"/>
              <w:jc w:val="center"/>
              <w:rPr>
                <w:i/>
                <w:i/>
                <w:color w:val="5A5A5A"/>
                <w:sz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4908550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4908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jc w:val="center"/>
        <w:rPr/>
      </w:pPr>
      <w:r>
        <w:rPr/>
        <w:t>Рис. 3. Корреляционная матрица признаков</w:t>
      </w:r>
    </w:p>
    <w:p>
      <w:pPr>
        <w:pStyle w:val="Normal"/>
        <w:rPr/>
      </w:pPr>
      <w:r>
        <w:rPr/>
        <w:t>Наличие умеренных и сильных корреляций между отдельными признаками делает оправданным дальнейшее применение методов снижения размерности.</w:t>
      </w:r>
    </w:p>
    <w:p>
      <w:pPr>
        <w:pStyle w:val="Heading2"/>
        <w:ind w:hanging="0"/>
        <w:rPr/>
      </w:pPr>
      <w:r>
        <w:rPr/>
        <w:t>5.3 Попарная визуализация признаков</w:t>
      </w:r>
    </w:p>
    <w:p>
      <w:pPr>
        <w:pStyle w:val="Normal"/>
        <w:rPr/>
      </w:pPr>
      <w:r>
        <w:rPr/>
        <w:t>Для более детального визуального анализа строится pairplot, который отражает распределения отдельных признаков и попарные зависимости с учетом класса Healthy_Status. По такому графику можно сделать вывод о степени пересечения классов и приблизительной сложности задачи классификации.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9355"/>
      </w:tblGrid>
      <w:tr>
        <w:trPr>
          <w:trHeight w:val="3685" w:hRule="atLeast"/>
        </w:trPr>
        <w:tc>
          <w:tcPr>
            <w:tcW w:w="9355" w:type="dxa"/>
            <w:tcBorders>
              <w:top w:val="single" w:sz="8" w:space="0" w:color="AAB2C5"/>
              <w:start w:val="single" w:sz="8" w:space="0" w:color="AAB2C5"/>
              <w:bottom w:val="single" w:sz="8" w:space="0" w:color="AAB2C5"/>
              <w:end w:val="single" w:sz="8" w:space="0" w:color="AAB2C5"/>
            </w:tcBorders>
            <w:shd w:fill="FAFAFA"/>
          </w:tcPr>
          <w:p>
            <w:pPr>
              <w:pStyle w:val="Normal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5806440" cy="8119745"/>
                  <wp:effectExtent l="0" t="0" r="0" b="0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8119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jc w:val="center"/>
        <w:rPr/>
      </w:pPr>
      <w:r>
        <w:rPr/>
        <w:t>Рис. 4. Pairplot признаков кардиологического датасета</w:t>
      </w:r>
    </w:p>
    <w:p>
      <w:pPr>
        <w:pStyle w:val="Normal"/>
        <w:rPr/>
      </w:pPr>
      <w:r>
        <w:rPr/>
        <w:t>Если классы заметно перекрываются на pairplot, это указывает на то, что задача не является полностью тривиальной и требует применения более устойчивых моделей машинного обучения.</w:t>
      </w:r>
    </w:p>
    <w:p>
      <w:pPr>
        <w:pStyle w:val="Heading1"/>
        <w:ind w:hanging="0"/>
        <w:jc w:val="center"/>
        <w:rPr/>
      </w:pPr>
      <w:r>
        <w:rPr/>
        <w:t>6. Снижение размерности</w:t>
      </w:r>
    </w:p>
    <w:p>
      <w:pPr>
        <w:pStyle w:val="Heading2"/>
        <w:ind w:hanging="0"/>
        <w:rPr/>
      </w:pPr>
      <w:r>
        <w:rPr/>
        <w:t>6.1 Метод главных компонент (PCA)</w:t>
      </w:r>
    </w:p>
    <w:p>
      <w:pPr>
        <w:pStyle w:val="Normal"/>
        <w:rPr/>
      </w:pPr>
      <w:r>
        <w:rPr/>
        <w:t>Перед применением PCA признаки стандартизируются, чтобы привести их к сопоставимому масштабу. Это особенно важно при совместном анализе признаков, измеряемых в разных диапазонах.</w:t>
      </w:r>
    </w:p>
    <w:p>
      <w:pPr>
        <w:pStyle w:val="Normal"/>
        <w:spacing w:before="0" w:after="120"/>
        <w:ind w:hanging="0"/>
        <w:jc w:val="center"/>
        <w:rPr/>
      </w:pPr>
      <w:r>
        <w:rPr>
          <w:i w:val="false"/>
          <w:sz w:val="24"/>
        </w:rPr>
        <w:t>X_scaled = (X - μ) / σ</w:t>
      </w:r>
    </w:p>
    <w:p>
      <w:pPr>
        <w:pStyle w:val="Normal"/>
        <w:rPr/>
      </w:pPr>
      <w:r>
        <w:rPr/>
        <w:t>PCA позволяет перейти из исходного многомерного пространства в новое пространство меньшей размерности, сохраняя при этом как можно большую долю дисперсии данных.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9355"/>
      </w:tblGrid>
      <w:tr>
        <w:trPr>
          <w:trHeight w:val="3288" w:hRule="atLeast"/>
        </w:trPr>
        <w:tc>
          <w:tcPr>
            <w:tcW w:w="9355" w:type="dxa"/>
            <w:tcBorders>
              <w:top w:val="single" w:sz="8" w:space="0" w:color="AAB2C5"/>
              <w:start w:val="single" w:sz="8" w:space="0" w:color="AAB2C5"/>
              <w:bottom w:val="single" w:sz="8" w:space="0" w:color="AAB2C5"/>
              <w:end w:val="single" w:sz="8" w:space="0" w:color="AAB2C5"/>
            </w:tcBorders>
            <w:shd w:fill="FAFAFA"/>
          </w:tcPr>
          <w:p>
            <w:pPr>
              <w:pStyle w:val="PreformattedText"/>
              <w:ind w:hanging="0"/>
              <w:jc w:val="center"/>
              <w:rPr>
                <w:rFonts w:ascii="inherit" w:hAnsi="inherit" w:eastAsia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  <w14:textFill>
                  <w14:solidFill>
                    <w14:srgbClr w14:val="000000">
                      <w14:alpha w14:val="13000"/>
                    </w14:srgbClr>
                  </w14:solidFill>
                </w14:textFill>
              </w:rPr>
            </w:pPr>
            <w:r>
              <w:rPr>
                <w:rFonts w:eastAsia="Times New Roman" w:ascii="inherit" w:hAnsi="inherit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  <w14:textFill>
                  <w14:solidFill>
                    <w14:srgbClr w14:val="000000">
                      <w14:alpha w14:val="13000"/>
                    </w14:srgbClr>
                  </w14:solidFill>
                </w14:textFill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3505200"/>
                  <wp:effectExtent l="0" t="0" r="0" b="0"/>
                  <wp:wrapSquare wrapText="largest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350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ind w:hanging="0"/>
              <w:jc w:val="center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  <w:t>Рис. 5. Двумерная визуализация данных с помощью PCA</w:t>
      </w:r>
    </w:p>
    <w:p>
      <w:pPr>
        <w:pStyle w:val="Normal"/>
        <w:rPr/>
      </w:pPr>
      <w:r>
        <w:rPr/>
        <w:t>Если после проекции на две главные компоненты наблюдается лишь частичное разделение классов, это означает, что линейное снижение размерности не обеспечивает полного разделения объектов по признаку Healthy_Status.</w:t>
      </w:r>
    </w:p>
    <w:p>
      <w:pPr>
        <w:pStyle w:val="Heading2"/>
        <w:ind w:hanging="0"/>
        <w:rPr/>
      </w:pPr>
      <w:r>
        <w:rPr/>
        <w:t>6.2 Метод t-SNE</w:t>
      </w:r>
    </w:p>
    <w:p>
      <w:pPr>
        <w:pStyle w:val="Normal"/>
        <w:rPr/>
      </w:pPr>
      <w:r>
        <w:rPr/>
        <w:t>Для нелинейного отображения многомерных данных дополнительно используется метод t-SNE. Он ориентирован на сохранение локальной структуры пространства признаков и часто позволяет лучше увидеть скрытые кластеры или области пересечения классов.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9355"/>
      </w:tblGrid>
      <w:tr>
        <w:trPr>
          <w:trHeight w:val="3288" w:hRule="atLeast"/>
        </w:trPr>
        <w:tc>
          <w:tcPr>
            <w:tcW w:w="9355" w:type="dxa"/>
            <w:tcBorders>
              <w:top w:val="single" w:sz="8" w:space="0" w:color="AAB2C5"/>
              <w:start w:val="single" w:sz="8" w:space="0" w:color="AAB2C5"/>
              <w:bottom w:val="single" w:sz="8" w:space="0" w:color="AAB2C5"/>
              <w:end w:val="single" w:sz="8" w:space="0" w:color="AAB2C5"/>
            </w:tcBorders>
            <w:shd w:fill="FAFAFA"/>
          </w:tcPr>
          <w:p>
            <w:pPr>
              <w:pStyle w:val="Normal"/>
              <w:ind w:hanging="0"/>
              <w:jc w:val="center"/>
              <w:rPr>
                <w:i/>
                <w:i/>
                <w:color w:val="5A5A5A"/>
                <w:sz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3325495"/>
                  <wp:effectExtent l="0" t="0" r="0" b="0"/>
                  <wp:wrapSquare wrapText="largest"/>
                  <wp:docPr id="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3325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jc w:val="center"/>
        <w:rPr/>
      </w:pPr>
      <w:r>
        <w:rPr/>
        <w:t>Рис. 6. Двумерная визуализация данных с помощью t-SNE</w:t>
      </w:r>
    </w:p>
    <w:p>
      <w:pPr>
        <w:pStyle w:val="Normal"/>
        <w:rPr/>
      </w:pPr>
      <w:r>
        <w:rPr/>
        <w:t>Результаты t-SNE, как правило, подтверждают наличие пересечения между классами. Следовательно, для достижения высокого качества классификации требуется модель, способная учитывать сложные зависимости между признаками.</w:t>
      </w:r>
    </w:p>
    <w:p>
      <w:pPr>
        <w:pStyle w:val="Heading1"/>
        <w:ind w:hanging="0"/>
        <w:jc w:val="center"/>
        <w:rPr/>
      </w:pPr>
      <w:r>
        <w:rPr/>
        <w:t>7. Применение AutoML для бинарной классификации</w:t>
      </w:r>
    </w:p>
    <w:p>
      <w:pPr>
        <w:pStyle w:val="Heading2"/>
        <w:ind w:hanging="0"/>
        <w:rPr/>
      </w:pPr>
      <w:r>
        <w:rPr/>
        <w:t>7.1 Обоснование выбора подхода</w:t>
      </w:r>
    </w:p>
    <w:p>
      <w:pPr>
        <w:pStyle w:val="Normal"/>
        <w:rPr/>
      </w:pPr>
      <w:r>
        <w:rPr/>
        <w:t>В данной работе используется фреймворк FLAML, относящийся к классу AutoML-систем. Его выбор обусловлен поддержкой задач классификации, высокой скоростью работы, удобством запуска в Kaggle и возможностью оптимизировать модель по метрике F1-score.</w:t>
      </w:r>
    </w:p>
    <w:p>
      <w:pPr>
        <w:pStyle w:val="Normal"/>
        <w:rPr/>
      </w:pPr>
      <w:r>
        <w:rPr/>
        <w:t>В процессе подбора FLAML может рассматривать различные семейства моделей, в том числе логистическую регрессию с регуляризацией, случайный лес, Extra Trees и другие ансамблевые методы. Это позволяет подобрать хороший базовый классификатор без ручного перебора большого числа конфигураций.</w:t>
      </w:r>
    </w:p>
    <w:p>
      <w:pPr>
        <w:pStyle w:val="Heading2"/>
        <w:ind w:hanging="0"/>
        <w:rPr/>
      </w:pPr>
      <w:r>
        <w:rPr/>
        <w:t>7.2 Построение классификатора</w:t>
      </w:r>
    </w:p>
    <w:p>
      <w:pPr>
        <w:pStyle w:val="Normal"/>
        <w:rPr/>
      </w:pPr>
      <w:r>
        <w:rPr/>
        <w:t>После очистки данных формируются матрица признаков X и целевая переменная y. Далее выборка делится на обучающую и тестовую части в отношении 80/20 с сохранением пропорции классов. На обучающей выборке запускается AutoML-поиск, ориентированный на максимизацию F1-score.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9355"/>
      </w:tblGrid>
      <w:tr>
        <w:trPr/>
        <w:tc>
          <w:tcPr>
            <w:tcW w:w="9355" w:type="dxa"/>
            <w:tcBorders>
              <w:top w:val="single" w:sz="10" w:space="0" w:color="BFC7D5"/>
              <w:start w:val="single" w:sz="10" w:space="0" w:color="BFC7D5"/>
              <w:bottom w:val="single" w:sz="10" w:space="0" w:color="BFC7D5"/>
              <w:end w:val="single" w:sz="10" w:space="0" w:color="BFC7D5"/>
            </w:tcBorders>
            <w:shd w:fill="F2F5F9"/>
            <w:vAlign w:val="center"/>
          </w:tcPr>
          <w:p>
            <w:pPr>
              <w:pStyle w:val="Normal"/>
              <w:spacing w:before="0" w:after="0"/>
              <w:ind w:hanging="0"/>
              <w:jc w:val="start"/>
              <w:rPr>
                <w:rFonts w:ascii="Times New Roman" w:hAnsi="Times New Roman"/>
                <w:i/>
                <w:i/>
                <w:sz w:val="21"/>
              </w:rPr>
            </w:pPr>
            <w:r>
              <w:rPr>
                <w:i/>
                <w:sz w:val="21"/>
              </w:rPr>
              <w:t xml:space="preserve">Лучшая модель: </w:t>
            </w:r>
            <w:r>
              <w:rPr>
                <w:rFonts w:eastAsia="Times New Roman" w:ascii="inherit" w:hAnsi="inherit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  <w14:textFill>
                  <w14:solidFill>
                    <w14:srgbClr w14:val="000000">
                      <w14:alpha w14:val="13000"/>
                    </w14:srgbClr>
                  </w14:solidFill>
                </w14:textFill>
              </w:rPr>
              <w:t>xgboost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ascii="Times New Roman" w:hAnsi="Times New Roman"/>
                <w:i/>
                <w:i/>
                <w:sz w:val="21"/>
              </w:rPr>
            </w:pPr>
            <w:r>
              <w:rPr>
                <w:i/>
                <w:sz w:val="21"/>
              </w:rPr>
              <w:t xml:space="preserve">Accuracy: </w:t>
            </w:r>
            <w:r>
              <w:rPr>
                <w:rFonts w:eastAsia="Times New Roman" w:ascii="inherit" w:hAnsi="inherit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  <w14:textFill>
                  <w14:solidFill>
                    <w14:srgbClr w14:val="000000">
                      <w14:alpha w14:val="13000"/>
                    </w14:srgbClr>
                  </w14:solidFill>
                </w14:textFill>
              </w:rPr>
              <w:t>0.7606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ascii="Times New Roman" w:hAnsi="Times New Roman"/>
                <w:i/>
                <w:i/>
                <w:sz w:val="21"/>
              </w:rPr>
            </w:pPr>
            <w:r>
              <w:rPr>
                <w:i/>
                <w:sz w:val="21"/>
              </w:rPr>
              <w:t xml:space="preserve">F1-score: </w:t>
            </w:r>
            <w:r>
              <w:rPr>
                <w:rFonts w:eastAsia="Times New Roman" w:ascii="inherit" w:hAnsi="inherit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  <w14:textFill>
                  <w14:solidFill>
                    <w14:srgbClr w14:val="000000">
                      <w14:alpha w14:val="13000"/>
                    </w14:srgbClr>
                  </w14:solidFill>
                </w14:textFill>
              </w:rPr>
              <w:t>0.6220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ascii="Times New Roman" w:hAnsi="Times New Roman"/>
                <w:i/>
                <w:i/>
                <w:sz w:val="21"/>
              </w:rPr>
            </w:pPr>
            <w:r>
              <w:rPr>
                <w:i/>
                <w:sz w:val="21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ind w:hanging="0"/>
        <w:jc w:val="center"/>
        <w:rPr/>
      </w:pPr>
      <w:r>
        <w:rPr/>
        <w:t>8. Оценка качества модели</w:t>
      </w:r>
    </w:p>
    <w:p>
      <w:pPr>
        <w:pStyle w:val="Heading2"/>
        <w:ind w:hanging="0"/>
        <w:rPr/>
      </w:pPr>
      <w:r>
        <w:rPr/>
        <w:t>8.1 Основные метрики</w:t>
      </w:r>
    </w:p>
    <w:p>
      <w:pPr>
        <w:pStyle w:val="Normal"/>
        <w:rPr/>
      </w:pPr>
      <w:r>
        <w:rPr/>
        <w:t>Для оценки качества бинарной классификации используются метрики Accuracy, F1-score и confusion matrix. Метрика Accuracy показывает долю правильно классифицированных объектов, а F1-score одновременно учитывает полноту и точность классификации, что особенно важно при частичной несбалансированности классов.</w:t>
      </w:r>
    </w:p>
    <w:p>
      <w:pPr>
        <w:pStyle w:val="Normal"/>
        <w:spacing w:before="0" w:after="120"/>
        <w:ind w:hanging="0"/>
        <w:jc w:val="center"/>
        <w:rPr/>
      </w:pPr>
      <w:r>
        <w:rPr>
          <w:i w:val="false"/>
          <w:sz w:val="24"/>
        </w:rPr>
        <w:t>Accuracy = (TP + TN) / (TP + TN + FP + FN)</w:t>
      </w:r>
    </w:p>
    <w:p>
      <w:pPr>
        <w:pStyle w:val="Normal"/>
        <w:spacing w:before="0" w:after="120"/>
        <w:ind w:hanging="0"/>
        <w:jc w:val="center"/>
        <w:rPr/>
      </w:pPr>
      <w:r>
        <w:rPr>
          <w:i w:val="false"/>
          <w:sz w:val="24"/>
        </w:rPr>
        <w:t>F1 = 2 · Precision · Recall / (Precision + Recall)</w:t>
      </w:r>
    </w:p>
    <w:p>
      <w:pPr>
        <w:pStyle w:val="Normal"/>
        <w:ind w:hanging="0" w:start="0"/>
        <w:rPr/>
      </w:pPr>
      <w:r>
        <w:rPr/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9355"/>
      </w:tblGrid>
      <w:tr>
        <w:trPr/>
        <w:tc>
          <w:tcPr>
            <w:tcW w:w="9355" w:type="dxa"/>
            <w:tcBorders>
              <w:top w:val="single" w:sz="10" w:space="0" w:color="BFC7D5"/>
              <w:start w:val="single" w:sz="10" w:space="0" w:color="BFC7D5"/>
              <w:bottom w:val="single" w:sz="10" w:space="0" w:color="BFC7D5"/>
              <w:end w:val="single" w:sz="10" w:space="0" w:color="BFC7D5"/>
            </w:tcBorders>
            <w:shd w:fill="F2F5F9"/>
            <w:vAlign w:val="center"/>
          </w:tcPr>
          <w:p>
            <w:pPr>
              <w:pStyle w:val="Normal"/>
              <w:spacing w:before="0" w:after="0"/>
              <w:ind w:hanging="0"/>
              <w:jc w:val="start"/>
              <w:rPr/>
            </w:pPr>
            <w:r>
              <w:rPr>
                <w:i/>
                <w:sz w:val="21"/>
              </w:rPr>
              <w:br/>
              <w:t xml:space="preserve">Accuracy =  </w:t>
            </w:r>
            <w:r>
              <w:rPr>
                <w:rFonts w:eastAsia="Times New Roman" w:ascii="inherit" w:hAnsi="inherit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  <w14:textFill>
                  <w14:solidFill>
                    <w14:srgbClr w14:val="000000">
                      <w14:alpha w14:val="13000"/>
                    </w14:srgbClr>
                  </w14:solidFill>
                </w14:textFill>
              </w:rPr>
              <w:t>0.7606</w:t>
            </w:r>
            <w:r>
              <w:rPr>
                <w:i/>
                <w:sz w:val="21"/>
              </w:rPr>
              <w:br/>
              <w:t xml:space="preserve">F1-score = </w:t>
            </w:r>
            <w:r>
              <w:rPr>
                <w:rFonts w:eastAsia="Times New Roman" w:ascii="inherit" w:hAnsi="inherit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  <w14:textFill>
                  <w14:solidFill>
                    <w14:srgbClr w14:val="000000">
                      <w14:alpha w14:val="13000"/>
                    </w14:srgbClr>
                  </w14:solidFill>
                </w14:textFill>
              </w:rPr>
              <w:t>0.6220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ind w:hanging="0"/>
        <w:rPr/>
      </w:pPr>
      <w:r>
        <w:rPr/>
        <w:t>8.2 Матрица ошибок</w:t>
      </w:r>
    </w:p>
    <w:p>
      <w:pPr>
        <w:pStyle w:val="Normal"/>
        <w:rPr/>
      </w:pPr>
      <w:r>
        <w:rPr/>
        <w:t>Для более детального анализа результатов классификации строится матрица ошибок. Она показывает количество верно и неверно классифицированных объектов каждого класса и позволяет понять характер ошибок модели.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9355"/>
      </w:tblGrid>
      <w:tr>
        <w:trPr>
          <w:trHeight w:val="3175" w:hRule="atLeast"/>
        </w:trPr>
        <w:tc>
          <w:tcPr>
            <w:tcW w:w="9355" w:type="dxa"/>
            <w:tcBorders>
              <w:top w:val="single" w:sz="8" w:space="0" w:color="AAB2C5"/>
              <w:start w:val="single" w:sz="8" w:space="0" w:color="AAB2C5"/>
              <w:bottom w:val="single" w:sz="8" w:space="0" w:color="AAB2C5"/>
              <w:end w:val="single" w:sz="8" w:space="0" w:color="AAB2C5"/>
            </w:tcBorders>
            <w:shd w:fill="FAFAFA"/>
          </w:tcPr>
          <w:p>
            <w:pPr>
              <w:pStyle w:val="Normal"/>
              <w:ind w:hanging="0"/>
              <w:jc w:val="center"/>
              <w:rPr>
                <w:i/>
                <w:i/>
                <w:color w:val="5A5A5A"/>
                <w:sz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4340225"/>
                  <wp:effectExtent l="0" t="0" r="0" b="0"/>
                  <wp:wrapSquare wrapText="largest"/>
                  <wp:docPr id="7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4340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jc w:val="center"/>
        <w:rPr/>
      </w:pPr>
      <w:r>
        <w:rPr/>
        <w:t>Рис. 7. Матрица ошибок для классификации признака Healthy_Status</w:t>
      </w:r>
    </w:p>
    <w:p>
      <w:pPr>
        <w:pStyle w:val="Normal"/>
        <w:rPr/>
      </w:pPr>
      <w:r>
        <w:rPr/>
        <w:t>На основе confusion matrix можно оценить, насколько хорошо модель различает оба класса и в какой степени ошибки распределены между ложноположительными и ложноотрицательными предсказаниями.</w:t>
      </w:r>
    </w:p>
    <w:p>
      <w:pPr>
        <w:pStyle w:val="Heading1"/>
        <w:ind w:hanging="0"/>
        <w:jc w:val="center"/>
        <w:rPr/>
      </w:pPr>
      <w:r>
        <w:rPr/>
        <w:t>9. Заключение</w:t>
      </w:r>
    </w:p>
    <w:p>
      <w:pPr>
        <w:pStyle w:val="Normal"/>
        <w:rPr/>
      </w:pPr>
      <w:r>
        <w:rPr/>
        <w:t>В ходе лабораторной работы был выполнен полный цикл обработки кардиологического набора данных: от предварительной очистки и удаления выбросов до обучения модели бинарной классификации и оценки ее качества.</w:t>
      </w:r>
    </w:p>
    <w:p>
      <w:pPr>
        <w:pStyle w:val="Normal"/>
        <w:rPr/>
      </w:pPr>
      <w:r>
        <w:rPr/>
        <w:t>В работе были выбраны только требуемые по условию признаки, выполнены boxplot-анализ, корреляционный анализ и pairplot-визуализация, а также применены методы снижения размерности PCA и t-SNE для двумерного представления структуры данных.</w:t>
      </w:r>
    </w:p>
    <w:p>
      <w:pPr>
        <w:pStyle w:val="Normal"/>
        <w:rPr/>
      </w:pPr>
      <w:r>
        <w:rPr/>
        <w:t>Для решения задачи бинарной классификации использовался AutoML-фреймворк FLAML, позволяющий автоматически подобрать подходящий алгоритм и его гиперпараметры. Итоговое качество модели следует оценивать по фактическим значениям Accuracy, F1-score и confusion matrix, полученным после запуска ноутбука на собственных данных.</w:t>
      </w:r>
    </w:p>
    <w:p>
      <w:pPr>
        <w:pStyle w:val="Normal"/>
        <w:rPr/>
      </w:pPr>
      <w:r>
        <w:rPr/>
        <w:t>Таким образом, поставленные в лабораторной работе цели достигаются: числовые параметры ЭКГ действительно могут использоваться для классификации признака Healthy_Status, а AutoML позволяет эффективно решить задачу без ручного перебора большого числа моделей.</w:t>
      </w:r>
    </w:p>
    <w:p>
      <w:pPr>
        <w:pStyle w:val="Heading1"/>
        <w:ind w:hanging="0"/>
        <w:jc w:val="center"/>
        <w:rPr/>
      </w:pPr>
      <w:r>
        <w:rPr/>
        <w:t>Список литературы</w:t>
      </w:r>
    </w:p>
    <w:p>
      <w:pPr>
        <w:pStyle w:val="Normal"/>
        <w:ind w:hanging="397" w:start="397"/>
        <w:rPr/>
      </w:pPr>
      <w:r>
        <w:rPr/>
        <w:t>1. Bishop, C. M. Pattern Recognition and Machine Learning / C. M. Bishop. – New York : Springer, 2006. – 738 p.</w:t>
      </w:r>
    </w:p>
    <w:p>
      <w:pPr>
        <w:pStyle w:val="Normal"/>
        <w:ind w:hanging="397" w:start="397"/>
        <w:rPr/>
      </w:pPr>
      <w:r>
        <w:rPr/>
        <w:t>2. Hastie, T. The Elements of Statistical Learning: Data Mining, Inference, and Prediction / T. Hastie, R. Tibshirani, J. Friedman. – 2nd ed. – New York : Springer, 2009. – 745 p.</w:t>
      </w:r>
    </w:p>
    <w:p>
      <w:pPr>
        <w:pStyle w:val="Normal"/>
        <w:ind w:hanging="397" w:start="397"/>
        <w:rPr/>
      </w:pPr>
      <w:r>
        <w:rPr/>
        <w:t>3. Wang, L., Zhang, Q. et al. FLAML: A Fast and Lightweight AutoML Library // Proceedings of MLSys. – 2021.</w:t>
      </w:r>
    </w:p>
    <w:p>
      <w:pPr>
        <w:pStyle w:val="Normal"/>
        <w:ind w:hanging="397" w:start="397"/>
        <w:rPr/>
      </w:pPr>
      <w:r>
        <w:rPr/>
        <w:t>4. van der Maaten, L., Hinton, G. Visualizing Data using t-SNE // Journal of Machine Learning Research. – 2008. – Vol. 9. – P. 2579–2605.</w:t>
      </w:r>
    </w:p>
    <w:p>
      <w:pPr>
        <w:pStyle w:val="Normal"/>
        <w:ind w:hanging="397" w:start="397"/>
        <w:rPr/>
      </w:pPr>
      <w:r>
        <w:rPr/>
        <w:t>5. Jolliffe, I. T. Principal Component Analysis. – New York : Springer, 2002.</w:t>
      </w:r>
    </w:p>
    <w:sectPr>
      <w:type w:val="nextPage"/>
      <w:pgSz w:w="11906" w:h="16838"/>
      <w:pgMar w:left="1417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inherit">
    <w:charset w:val="01" w:characterSet="utf-8"/>
    <w:family w:val="auto"/>
    <w:pitch w:val="default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ind w:firstLine="709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LibreOffice/25.8.2.2$MacOSX_X86_64 LibreOffice_project/d401f2107ccab8f924a8e2df40f573aab7605b6f</Application>
  <AppVersion>15.0000</AppVersion>
  <Pages>11</Pages>
  <Words>1273</Words>
  <Characters>8869</Characters>
  <CharactersWithSpaces>10046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2026-04-01T00:54:13Z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