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mkwlao3ddkx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smrom0tx26yb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التحوط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7yo3zqf0wedu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للتمويل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اللامركزي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والأصول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Farming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الأوتوماتيكي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6zleo2vh92dx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الهاكاثون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مدفوعة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بالطلب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 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ميكرو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Blocky402 Facilitator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ورسومها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السنتات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للتزوير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5qeaz7re7w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major-gainz-multi-track-integration.md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مصدريا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احترافيا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Best Use Cases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Targeting \$50,000+ Bounties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Graph Subgraph Indexer (subgraph_service.py):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وتغذيتها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1inch Aggregation Engine (oneinch_service.py):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Swaps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Chainlink Price Feeds (chainlink_service.py):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للتلاعب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 Identity Resolver (ens-resolver.ts):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majorgainz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Privy Wallet Provider (PrivyProvider.tsx):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بنقرة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Hedera x402 Auth Middleware (x402Auth.ts):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402، </w:t>
      </w:r>
      <w:r w:rsidDel="00000000" w:rsidR="00000000" w:rsidRPr="00000000">
        <w:rPr>
          <w:rtl w:val="1"/>
        </w:rPr>
        <w:t xml:space="preserve">ويسجل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يمكنك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التجريبي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