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Strata402 — Master Blueprint</w:t>
      </w:r>
    </w:p>
    <w:p>
      <w:pPr>
        <w:pStyle w:val="MdParagraph"/>
      </w:pPr>
      <w:r>
        <w:rPr>
          <w:rStyle w:val="MdStrong"/>
          <w:b/>
          <w:bCs/>
        </w:rPr>
        <w:t xml:space="preserve">Project name:</w:t>
      </w:r>
      <w:r>
        <w:t xml:space="preserve"> Strata402</w:t>
      </w:r>
      <w:r>
        <w:rPr>
          <w:rStyle w:val="MdBr"/>
        </w:rPr>
        <w:br/>
        <w:t xml:space="preserve"/>
      </w:r>
      <w:r>
        <w:rPr>
          <w:rStyle w:val="MdStrong"/>
          <w:b/>
          <w:bCs/>
        </w:rPr>
        <w:t xml:space="preserve">Repository:</w:t>
      </w:r>
      <w:r>
        <w:t xml:space="preserve"> </w:t>
      </w:r>
      <w:r>
        <w:rPr>
          <w:rStyle w:val="MdCode"/>
          <w:u w:val="single"/>
        </w:rPr>
        <w:t xml:space="preserve">strata402</w:t>
      </w:r>
      <w:r>
        <w:rPr>
          <w:rStyle w:val="MdBr"/>
        </w:rPr>
        <w:br/>
        <w:t xml:space="preserve"/>
      </w:r>
      <w:r>
        <w:rPr>
          <w:rStyle w:val="MdStrong"/>
          <w:b/>
          <w:bCs/>
        </w:rPr>
        <w:t xml:space="preserve">Agent identity:</w:t>
      </w:r>
      <w:r>
        <w:t xml:space="preserve"> </w:t>
      </w:r>
      <w:r>
        <w:rPr>
          <w:rStyle w:val="MdCode"/>
          <w:u w:val="single"/>
        </w:rPr>
        <w:t xml:space="preserve">strata402-agent</w:t>
      </w:r>
      <w:r>
        <w:rPr>
          <w:rStyle w:val="MdBr"/>
        </w:rPr>
        <w:br/>
        <w:t xml:space="preserve"/>
      </w:r>
      <w:r>
        <w:rPr>
          <w:rStyle w:val="MdStrong"/>
          <w:b/>
          <w:bCs/>
        </w:rPr>
        <w:t xml:space="preserve">Tagline:</w:t>
      </w:r>
      <w:r>
        <w:t xml:space="preserve"> </w:t>
      </w:r>
      <w:r>
        <w:rPr>
          <w:rStyle w:val="MdEm"/>
          <w:i/>
          <w:iCs/>
        </w:rPr>
        <w:t xml:space="preserve">Autonomous DeFi Intelligence on Hedera</w:t>
      </w:r>
      <w:r>
        <w:rPr>
          <w:rStyle w:val="MdBr"/>
        </w:rPr>
        <w:br/>
        <w:t xml:space="preserve"/>
      </w:r>
      <w:r>
        <w:rPr>
          <w:rStyle w:val="MdStrong"/>
          <w:b/>
          <w:bCs/>
        </w:rPr>
        <w:t xml:space="preserve">Target track:</w:t>
      </w:r>
      <w:r>
        <w:t xml:space="preserve"> Hedera — AI &amp; Agentic Payments on Hedera</w:t>
      </w:r>
      <w:r>
        <w:rPr>
          <w:rStyle w:val="MdBr"/>
        </w:rPr>
        <w:br/>
        <w:t xml:space="preserve"/>
      </w:r>
      <w:r>
        <w:rPr>
          <w:rStyle w:val="MdStrong"/>
          <w:b/>
          <w:bCs/>
        </w:rPr>
        <w:t xml:space="preserve">Blueprint status:</w:t>
      </w:r>
      <w:r>
        <w:t xml:space="preserve"> Final architectural plan; implementation has not started.</w:t>
      </w:r>
    </w:p>
    <w:p>
      <w:pPr>
        <w:pStyle w:val="MdSpace"/>
        <w:spacing w:before="0" w:after="60"/>
      </w:pPr>
    </w:p>
    <w:p>
      <w:pPr>
        <w:pStyle w:val="MdBlockquote"/>
      </w:pPr>
      <w:r>
        <w:rPr>
          <w:rStyle w:val="MdStrong"/>
          <w:b/>
          <w:bCs/>
        </w:rPr>
        <w:t xml:space="preserve">Core decision:</w:t>
      </w:r>
      <w:r>
        <w:t xml:space="preserve"> Strata402 will first prove one reliable, real, end-to-end paid AI inference request on Hedera testnet. All optional DeFi, smart-contract, discovery, and dashboard features remain subordinate to that proof.</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Executive Summary</w:t>
      </w:r>
    </w:p>
    <w:p>
      <w:pPr>
        <w:pStyle w:val="MdParagraph"/>
      </w:pPr>
      <w:r>
        <w:t xml:space="preserve">Strata402 is a metered AI DeFi intelligence service designed for autonomous agents operating on Hedera. It exposes a paid portfolio risk and yield-analysis endpoint. A consuming agent discovers the service, requests an analysis, receives an HTTP </w:t>
      </w:r>
      <w:r>
        <w:rPr>
          <w:rStyle w:val="MdCode"/>
          <w:u w:val="single"/>
        </w:rPr>
        <w:t xml:space="preserve">402 Payment Required</w:t>
      </w:r>
      <w:r>
        <w:t xml:space="preserve"> response, creates a Hedera </w:t>
      </w:r>
      <w:r>
        <w:rPr>
          <w:rStyle w:val="MdCode"/>
          <w:u w:val="single"/>
        </w:rPr>
        <w:t xml:space="preserve">exact</w:t>
      </w:r>
      <w:r>
        <w:t xml:space="preserve"> x402 payment in HBAR, and retries the request after payment processing through Blocky402. The service then returns a structured AI-assisted analysis and settlement metadata.</w:t>
      </w:r>
    </w:p>
    <w:p>
      <w:pPr>
        <w:pStyle w:val="MdSpace"/>
        <w:spacing w:before="0" w:after="60"/>
      </w:pPr>
    </w:p>
    <w:p>
      <w:pPr>
        <w:pStyle w:val="MdParagraph"/>
      </w:pPr>
      <w:r>
        <w:t xml:space="preserve">The project addresses two related problems. DeFi analysis is difficult to consume programmatically because relevant information is fragmented across protocols and ordinary APIs use API keys or subscriptions. Autonomous agents need a standard way to purchase a discrete service request without a human checkout flow. Strata402 addresses the second problem directly through x402 and uses Hedera for low-cost, fast settlement. It addresses the first problem through a focused risk-and-yield analysis API rather than attempting to automate custody or trading in the MVP.</w:t>
      </w:r>
    </w:p>
    <w:p>
      <w:pPr>
        <w:pStyle w:val="MdSpace"/>
        <w:spacing w:before="0" w:after="60"/>
      </w:pPr>
    </w:p>
    <w:p>
      <w:pPr>
        <w:pStyle w:val="MdParagraph"/>
      </w:pPr>
      <w:r>
        <w:t xml:space="preserve">The qualification-critical artifact is not the dashboard or a smart contract. It is the complete request lifecycle: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Unpaid agent request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HTTP 402 response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Hedera x402 payment payload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Blocky402 verification and settlement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Paid retry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AI DeFi analysis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Hedera transaction evidence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Project Identity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Item</w:t>
            </w:r>
          </w:p>
        </w:tc>
        <w:tc>
          <w:tcPr>
            <w:tcBorders>
              <w:right w:val="none"/>
            </w:tcBorders>
            <w:tcMar>
              <w:top w:type="dxa" w:w="100"/>
              <w:left w:type="dxa" w:w="120"/>
              <w:bottom w:type="dxa" w:w="100"/>
              <w:right w:type="dxa" w:w="120"/>
            </w:tcMar>
            <w:vAlign w:val="center"/>
          </w:tcPr>
          <w:p>
            <w:pPr>
              <w:pStyle w:val="MdTableHeader"/>
            </w:pPr>
            <w:r>
              <w:t xml:space="preserve">Decision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name</w:t>
            </w:r>
          </w:p>
        </w:tc>
        <w:tc>
          <w:tcPr>
            <w:tcBorders>
              <w:right w:val="none"/>
            </w:tcBorders>
            <w:tcMar>
              <w:top w:type="dxa" w:w="80"/>
              <w:left w:type="dxa" w:w="120"/>
              <w:bottom w:type="dxa" w:w="80"/>
              <w:right w:type="dxa" w:w="120"/>
            </w:tcMar>
            <w:vAlign w:val="center"/>
          </w:tcPr>
          <w:p>
            <w:pPr>
              <w:pStyle w:val="MdTableCell"/>
            </w:pPr>
            <w:r>
              <w:t xml:space="preserve">Strata402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Repository</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strata402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Root directory</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strata402/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Independent buyer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strata402-agent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Optional Web3 identity</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strata402.eth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Network for MVP</w:t>
            </w:r>
          </w:p>
        </w:tc>
        <w:tc>
          <w:tcPr>
            <w:tcBorders>
              <w:right w:val="none"/>
            </w:tcBorders>
            <w:tcMar>
              <w:top w:type="dxa" w:w="80"/>
              <w:left w:type="dxa" w:w="120"/>
              <w:bottom w:type="dxa" w:w="80"/>
              <w:right w:type="dxa" w:w="120"/>
            </w:tcMar>
            <w:vAlign w:val="center"/>
          </w:tcPr>
          <w:p>
            <w:pPr>
              <w:pStyle w:val="MdTableCell"/>
            </w:pPr>
            <w:r>
              <w:t xml:space="preserve">Hedera testnet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Payment asset</w:t>
            </w:r>
          </w:p>
        </w:tc>
        <w:tc>
          <w:tcPr>
            <w:tcBorders>
              <w:right w:val="none"/>
            </w:tcBorders>
            <w:tcMar>
              <w:top w:type="dxa" w:w="80"/>
              <w:left w:type="dxa" w:w="120"/>
              <w:bottom w:type="dxa" w:w="80"/>
              <w:right w:type="dxa" w:w="120"/>
            </w:tcMar>
            <w:vAlign w:val="center"/>
          </w:tcPr>
          <w:p>
            <w:pPr>
              <w:pStyle w:val="MdTableCell"/>
            </w:pPr>
            <w:r>
              <w:t xml:space="preserve">Native HBAR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Payment scheme</w:t>
            </w:r>
          </w:p>
        </w:tc>
        <w:tc>
          <w:tcPr>
            <w:tcBorders>
              <w:right w:val="none"/>
            </w:tcBorders>
            <w:tcMar>
              <w:top w:type="dxa" w:w="80"/>
              <w:left w:type="dxa" w:w="120"/>
              <w:bottom w:type="dxa" w:w="80"/>
              <w:right w:type="dxa" w:w="120"/>
            </w:tcMar>
            <w:vAlign w:val="center"/>
          </w:tcPr>
          <w:p>
            <w:pPr>
              <w:pStyle w:val="MdTableCell"/>
            </w:pPr>
            <w:r>
              <w:t xml:space="preserve">x402 </w:t>
            </w:r>
            <w:r>
              <w:rPr>
                <w:rStyle w:val="MdCode"/>
                <w:u w:val="single"/>
              </w:rPr>
              <w:t xml:space="preserve">exact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Protocol version</w:t>
            </w:r>
          </w:p>
        </w:tc>
        <w:tc>
          <w:tcPr>
            <w:tcBorders>
              <w:right w:val="none"/>
            </w:tcBorders>
            <w:tcMar>
              <w:top w:type="dxa" w:w="80"/>
              <w:left w:type="dxa" w:w="120"/>
              <w:bottom w:type="dxa" w:w="80"/>
              <w:right w:type="dxa" w:w="120"/>
            </w:tcMar>
            <w:vAlign w:val="center"/>
          </w:tcPr>
          <w:p>
            <w:pPr>
              <w:pStyle w:val="MdTableCell"/>
            </w:pPr>
            <w:r>
              <w:t xml:space="preserve">x402 v2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Facilitator</w:t>
            </w:r>
          </w:p>
        </w:tc>
        <w:tc>
          <w:tcPr>
            <w:tcBorders>
              <w:right w:val="none"/>
            </w:tcBorders>
            <w:tcMar>
              <w:top w:type="dxa" w:w="80"/>
              <w:left w:type="dxa" w:w="120"/>
              <w:bottom w:type="dxa" w:w="80"/>
              <w:right w:type="dxa" w:w="120"/>
            </w:tcMar>
            <w:vAlign w:val="center"/>
          </w:tcPr>
          <w:p>
            <w:pPr>
              <w:pStyle w:val="MdTableCell"/>
            </w:pPr>
            <w:r>
              <w:t xml:space="preserve">Blocky402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Primary paid endpoint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POST /v1/strategy/yield-risk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engine</w:t>
            </w:r>
          </w:p>
        </w:tc>
        <w:tc>
          <w:tcPr>
            <w:tcBorders>
              <w:right w:val="none"/>
            </w:tcBorders>
            <w:tcMar>
              <w:top w:type="dxa" w:w="80"/>
              <w:left w:type="dxa" w:w="120"/>
              <w:bottom w:type="dxa" w:w="80"/>
              <w:right w:type="dxa" w:w="120"/>
            </w:tcMar>
            <w:vAlign w:val="center"/>
          </w:tcPr>
          <w:p>
            <w:pPr>
              <w:pStyle w:val="MdTableCell"/>
            </w:pPr>
            <w:r>
              <w:t xml:space="preserve">Python FastAPI service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x402 resource server</w:t>
            </w:r>
          </w:p>
        </w:tc>
        <w:tc>
          <w:tcPr>
            <w:tcBorders>
              <w:right w:val="none"/>
            </w:tcBorders>
            <w:tcMar>
              <w:top w:type="dxa" w:w="80"/>
              <w:left w:type="dxa" w:w="120"/>
              <w:bottom w:type="dxa" w:w="80"/>
              <w:right w:type="dxa" w:w="120"/>
            </w:tcMar>
            <w:vAlign w:val="center"/>
          </w:tcPr>
          <w:p>
            <w:pPr>
              <w:pStyle w:val="MdTableCell"/>
            </w:pPr>
            <w:r>
              <w:t xml:space="preserve">TypeScript Express service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Monorepo runtime</w:t>
            </w:r>
          </w:p>
        </w:tc>
        <w:tc>
          <w:tcPr>
            <w:tcBorders>
              <w:right w:val="none"/>
            </w:tcBorders>
            <w:tcMar>
              <w:top w:type="dxa" w:w="80"/>
              <w:left w:type="dxa" w:w="120"/>
              <w:bottom w:type="dxa" w:w="80"/>
              <w:right w:type="dxa" w:w="120"/>
            </w:tcMar>
            <w:vAlign w:val="center"/>
          </w:tcPr>
          <w:p>
            <w:pPr>
              <w:pStyle w:val="MdTableCell"/>
            </w:pPr>
            <w:r>
              <w:t xml:space="preserve">Bun for TypeScript workspaces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Smart-contract toolchain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Hardhat, deferred until MVP proof</w:t>
            </w:r>
          </w:p>
        </w:tc>
      </w:tr>
    </w:tbl>
    <w:p>
      <w:pPr>
        <w:pStyle w:val="MdParagraph"/>
      </w:pPr>
      <w:r>
        <w:t xml:space="preserve">The previous project name </w:t>
      </w:r>
      <w:r>
        <w:rPr>
          <w:rStyle w:val="MdStrong"/>
          <w:b/>
          <w:bCs/>
        </w:rPr>
        <w:t xml:space="preserve">Major Gainz</w:t>
      </w:r>
      <w:r>
        <w:t xml:space="preserve"> is retired. It must not appear in repository paths, package names, environment variables, documentation, or code.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Problem Statement</w:t>
      </w:r>
    </w:p>
    <w:p>
      <w:pPr>
        <w:pStyle w:val="MdParagraph"/>
      </w:pPr>
      <w:r>
        <w:t xml:space="preserve">Autonomous agents cannot reliably purchase specialized DeFi intelligence through ordinary subscription-based APIs. They need a payment mechanism that is part of the request lifecycle and does not require a manually managed API key for every service. At the same time, a DeFi recommendation without transparent data freshness, deterministic risk calculations, and a clear disclaimer is unsafe to present as an automated financial decision.</w:t>
      </w:r>
    </w:p>
    <w:p>
      <w:pPr>
        <w:pStyle w:val="MdSpace"/>
        <w:spacing w:before="0" w:after="60"/>
      </w:pPr>
    </w:p>
    <w:p>
      <w:pPr>
        <w:pStyle w:val="MdParagraph"/>
      </w:pPr>
      <w:r>
        <w:t xml:space="preserve">Strata402 therefore separates the system into two responsibilities. The x402 gateway verifies that a request has been paid for. The analysis engine produces a structured, explainable result from validated inputs and available market data. This separation makes the payment path testable independently from the financial-analysis path.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Proposed Solution</w:t>
      </w:r>
    </w:p>
    <w:p>
      <w:pPr>
        <w:pStyle w:val="MdParagraph"/>
      </w:pPr>
      <w:r>
        <w:t xml:space="preserve">Strata402 provides a pay-per-request DeFi intelligence service for Hedera agents. Its first product is a yield-risk analysis endpoint that accepts a Hedera account identifier, risk tolerance, and analysis amount. The engine returns a risk score, a recommendation, confidence information, market context, data freshness, and a financial-risk disclaimer.</w:t>
      </w:r>
    </w:p>
    <w:p>
      <w:pPr>
        <w:pStyle w:val="MdSpace"/>
        <w:spacing w:before="0" w:after="60"/>
      </w:pPr>
    </w:p>
    <w:p>
      <w:pPr>
        <w:pStyle w:val="MdParagraph"/>
      </w:pPr>
      <w:r>
        <w:t xml:space="preserve">The service will initially use native HBAR for payment. HBAR is represented inside Hedera x402 payment requirements with asset identifier </w:t>
      </w:r>
      <w:r>
        <w:rPr>
          <w:rStyle w:val="MdCode"/>
          <w:u w:val="single"/>
        </w:rPr>
        <w:t xml:space="preserve">0.0.0</w:t>
      </w:r>
      <w:r>
        <w:t xml:space="preserve">, while the protocol amount is expressed in tinybars. For example, </w:t>
      </w:r>
      <w:r>
        <w:rPr>
          <w:rStyle w:val="MdCode"/>
          <w:u w:val="single"/>
        </w:rPr>
        <w:t xml:space="preserve">0.01 HBAR</w:t>
      </w:r>
      <w:r>
        <w:t xml:space="preserve"> is represented as </w:t>
      </w:r>
      <w:r>
        <w:rPr>
          <w:rStyle w:val="MdCode"/>
          <w:u w:val="single"/>
        </w:rPr>
        <w:t xml:space="preserve">1,000,000</w:t>
      </w:r>
      <w:r>
        <w:t xml:space="preserve"> tinybars. The UI may display decimal HBAR, but protocol and validation code must use integer tinybars.</w:t>
      </w:r>
    </w:p>
    <w:p>
      <w:pPr>
        <w:pStyle w:val="MdSpace"/>
        <w:spacing w:before="0" w:after="60"/>
      </w:pPr>
    </w:p>
    <w:p>
      <w:pPr>
        <w:pStyle w:val="MdParagraph"/>
      </w:pPr>
      <w:r>
        <w:t xml:space="preserve">The analysis is advisory. The MVP will not custody user funds, execute swaps, borrow assets, or automatically rebalance a portfolio.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Hedera and x402 Value Proposition</w:t>
      </w:r>
    </w:p>
    <w:p>
      <w:pPr>
        <w:pStyle w:val="MdParagraph"/>
      </w:pPr>
      <w:r>
        <w:t xml:space="preserve">Hedera supplies the settlement network and account model. x402 supplies the request-level payment semantics. Blocky402 acts as the facilitator that verifies the signed payment payload and settles the transaction. The combination allows an agent to buy a discrete AI service without a subscription or a manually provisioned service API key.</w:t>
      </w:r>
    </w:p>
    <w:p>
      <w:pPr>
        <w:pStyle w:val="MdSpace"/>
        <w:spacing w:before="0" w:after="60"/>
      </w:pPr>
    </w:p>
    <w:p>
      <w:pPr>
        <w:pStyle w:val="MdParagraph"/>
      </w:pPr>
      <w:r>
        <w:t xml:space="preserve">The Hedera </w:t>
      </w:r>
      <w:r>
        <w:rPr>
          <w:rStyle w:val="MdCode"/>
          <w:u w:val="single"/>
        </w:rPr>
        <w:t xml:space="preserve">exact</w:t>
      </w:r>
      <w:r>
        <w:t xml:space="preserve"> scheme uses a partially signed </w:t>
      </w:r>
      <w:r>
        <w:rPr>
          <w:rStyle w:val="MdCode"/>
          <w:u w:val="single"/>
        </w:rPr>
        <w:t xml:space="preserve">TransferTransaction</w:t>
      </w:r>
      <w:r>
        <w:t xml:space="preserve">. The client signs the payment transaction, while the facilitator acts as fee payer and submits the fully signed transaction after verification. The resource server grants access only after successful verification and settlement.</w:t>
      </w:r>
    </w:p>
    <w:p>
      <w:pPr>
        <w:pStyle w:val="MdSpace"/>
        <w:spacing w:before="0" w:after="60"/>
      </w:pPr>
    </w:p>
    <w:p>
      <w:pPr>
        <w:pStyle w:val="MdParagraph"/>
      </w:pPr>
      <w:r>
        <w:t xml:space="preserve">This project uses x402 for a narrow purpose: one payment for one analysis request. It does not treat x402 as a general-purpose wallet, continuous payment stream, or multi-hop trading mechanism.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Hackathon Track Alignment</w:t>
      </w:r>
    </w:p>
    <w:p>
      <w:pPr>
        <w:pStyle w:val="Heading3"/>
        <w:pStyle w:val="MdHeading3"/>
      </w:pPr>
      <w:r>
        <w:t xml:space="preserve">6.1 Mandatory qualification features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Requirement</w:t>
            </w:r>
          </w:p>
        </w:tc>
        <w:tc>
          <w:tcPr>
            <w:tcMar>
              <w:top w:type="dxa" w:w="100"/>
              <w:left w:type="dxa" w:w="120"/>
              <w:bottom w:type="dxa" w:w="100"/>
              <w:right w:type="dxa" w:w="120"/>
            </w:tcMar>
            <w:vAlign w:val="center"/>
          </w:tcPr>
          <w:p>
            <w:pPr>
              <w:pStyle w:val="MdTableHeader"/>
            </w:pPr>
            <w:r>
              <w:t xml:space="preserve">Strata402 implementation</w:t>
            </w:r>
          </w:p>
        </w:tc>
        <w:tc>
          <w:tcPr>
            <w:tcBorders>
              <w:right w:val="none"/>
            </w:tcBorders>
            <w:tcMar>
              <w:top w:type="dxa" w:w="100"/>
              <w:left w:type="dxa" w:w="120"/>
              <w:bottom w:type="dxa" w:w="100"/>
              <w:right w:type="dxa" w:w="120"/>
            </w:tcMar>
            <w:vAlign w:val="center"/>
          </w:tcPr>
          <w:p>
            <w:pPr>
              <w:pStyle w:val="MdTableHeader"/>
            </w:pPr>
            <w:r>
              <w:t xml:space="preserve">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Live x402-gated service</w:t>
            </w:r>
          </w:p>
        </w:tc>
        <w:tc>
          <w:tcPr>
            <w:tcMar>
              <w:top w:type="dxa" w:w="80"/>
              <w:left w:type="dxa" w:w="120"/>
              <w:bottom w:type="dxa" w:w="80"/>
              <w:right w:type="dxa" w:w="120"/>
            </w:tcMar>
            <w:vAlign w:val="center"/>
          </w:tcPr>
          <w:p>
            <w:pPr>
              <w:pStyle w:val="MdTableCell"/>
            </w:pPr>
            <w:r>
              <w:t xml:space="preserve">Express resource server protects </w:t>
            </w:r>
            <w:r>
              <w:rPr>
                <w:rStyle w:val="MdCode"/>
                <w:u w:val="single"/>
              </w:rPr>
              <w:t xml:space="preserve">POST /v1/strategy/yield-risk</w:t>
            </w:r>
          </w:p>
        </w:tc>
        <w:tc>
          <w:tcPr>
            <w:tcBorders>
              <w:right w:val="none"/>
            </w:tcBorders>
            <w:tcMar>
              <w:top w:type="dxa" w:w="80"/>
              <w:left w:type="dxa" w:w="120"/>
              <w:bottom w:type="dxa" w:w="80"/>
              <w:right w:type="dxa" w:w="120"/>
            </w:tcMar>
            <w:vAlign w:val="center"/>
          </w:tcPr>
          <w:p>
            <w:pPr>
              <w:pStyle w:val="MdTableCell"/>
            </w:pPr>
            <w:r>
              <w:t xml:space="preserve">Live 402 response on testnet deployment or recorded local-to-testnet run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Hedera settlement</w:t>
            </w:r>
          </w:p>
        </w:tc>
        <w:tc>
          <w:tcPr>
            <w:tcMar>
              <w:top w:type="dxa" w:w="80"/>
              <w:left w:type="dxa" w:w="120"/>
              <w:bottom w:type="dxa" w:w="80"/>
              <w:right w:type="dxa" w:w="120"/>
            </w:tcMar>
            <w:vAlign w:val="center"/>
          </w:tcPr>
          <w:p>
            <w:pPr>
              <w:pStyle w:val="MdTableCell"/>
            </w:pPr>
            <w:r>
              <w:t xml:space="preserve">Hedera </w:t>
            </w:r>
            <w:r>
              <w:rPr>
                <w:rStyle w:val="MdCode"/>
                <w:u w:val="single"/>
              </w:rPr>
              <w:t xml:space="preserve">exact</w:t>
            </w:r>
            <w:r>
              <w:t xml:space="preserve"> scheme with HBAR on </w:t>
            </w:r>
            <w:r>
              <w:rPr>
                <w:rStyle w:val="MdCode"/>
                <w:u w:val="single"/>
              </w:rPr>
              <w:t xml:space="preserve">hedera:testnet</w:t>
            </w:r>
          </w:p>
        </w:tc>
        <w:tc>
          <w:tcPr>
            <w:tcBorders>
              <w:right w:val="none"/>
            </w:tcBorders>
            <w:tcMar>
              <w:top w:type="dxa" w:w="80"/>
              <w:left w:type="dxa" w:w="120"/>
              <w:bottom w:type="dxa" w:w="80"/>
              <w:right w:type="dxa" w:w="120"/>
            </w:tcMar>
            <w:vAlign w:val="center"/>
          </w:tcPr>
          <w:p>
            <w:pPr>
              <w:pStyle w:val="MdTableCell"/>
            </w:pPr>
            <w:r>
              <w:t xml:space="preserve">Hedera transaction ID and HashScan link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Blocky402 facilitator</w:t>
            </w:r>
          </w:p>
        </w:tc>
        <w:tc>
          <w:tcPr>
            <w:tcMar>
              <w:top w:type="dxa" w:w="80"/>
              <w:left w:type="dxa" w:w="120"/>
              <w:bottom w:type="dxa" w:w="80"/>
              <w:right w:type="dxa" w:w="120"/>
            </w:tcMar>
            <w:vAlign w:val="center"/>
          </w:tcPr>
          <w:p>
            <w:pPr>
              <w:pStyle w:val="MdTableCell"/>
            </w:pPr>
            <w:r>
              <w:t xml:space="preserve">Resource server uses Blocky402 verification and settlement</w:t>
            </w:r>
          </w:p>
        </w:tc>
        <w:tc>
          <w:tcPr>
            <w:tcBorders>
              <w:right w:val="none"/>
            </w:tcBorders>
            <w:tcMar>
              <w:top w:type="dxa" w:w="80"/>
              <w:left w:type="dxa" w:w="120"/>
              <w:bottom w:type="dxa" w:w="80"/>
              <w:right w:type="dxa" w:w="120"/>
            </w:tcMar>
            <w:vAlign w:val="center"/>
          </w:tcPr>
          <w:p>
            <w:pPr>
              <w:pStyle w:val="MdTableCell"/>
            </w:pPr>
            <w:r>
              <w:t xml:space="preserve">Facilitator response and service logs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Consuming agent</w:t>
            </w:r>
          </w:p>
        </w:tc>
        <w:tc>
          <w:tcPr>
            <w:tcMar>
              <w:top w:type="dxa" w:w="80"/>
              <w:left w:type="dxa" w:w="120"/>
              <w:bottom w:type="dxa" w:w="80"/>
              <w:right w:type="dxa" w:w="120"/>
            </w:tcMar>
            <w:vAlign w:val="center"/>
          </w:tcPr>
          <w:p>
            <w:pPr>
              <w:pStyle w:val="MdTableCell"/>
            </w:pPr>
            <w:r>
              <w:t xml:space="preserve">Independent </w:t>
            </w:r>
            <w:r>
              <w:rPr>
                <w:rStyle w:val="MdCode"/>
                <w:u w:val="single"/>
              </w:rPr>
              <w:t xml:space="preserve">apps/consuming-agent</w:t>
            </w:r>
            <w:r>
              <w:t xml:space="preserve"> application</w:t>
            </w:r>
          </w:p>
        </w:tc>
        <w:tc>
          <w:tcPr>
            <w:tcBorders>
              <w:right w:val="none"/>
            </w:tcBorders>
            <w:tcMar>
              <w:top w:type="dxa" w:w="80"/>
              <w:left w:type="dxa" w:w="120"/>
              <w:bottom w:type="dxa" w:w="80"/>
              <w:right w:type="dxa" w:w="120"/>
            </w:tcMar>
            <w:vAlign w:val="center"/>
          </w:tcPr>
          <w:p>
            <w:pPr>
              <w:pStyle w:val="MdTableCell"/>
            </w:pPr>
            <w:r>
              <w:t xml:space="preserve">Terminal demo and public source code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End-to-end paid request</w:t>
            </w:r>
          </w:p>
        </w:tc>
        <w:tc>
          <w:tcPr>
            <w:tcMar>
              <w:top w:type="dxa" w:w="80"/>
              <w:left w:type="dxa" w:w="120"/>
              <w:bottom w:type="dxa" w:w="80"/>
              <w:right w:type="dxa" w:w="120"/>
            </w:tcMar>
            <w:vAlign w:val="center"/>
          </w:tcPr>
          <w:p>
            <w:pPr>
              <w:pStyle w:val="MdTableCell"/>
            </w:pPr>
            <w:r>
              <w:t xml:space="preserve">Agent performs unpaid request, payment, retry, and receives result</w:t>
            </w:r>
          </w:p>
        </w:tc>
        <w:tc>
          <w:tcPr>
            <w:tcBorders>
              <w:right w:val="none"/>
            </w:tcBorders>
            <w:tcMar>
              <w:top w:type="dxa" w:w="80"/>
              <w:left w:type="dxa" w:w="120"/>
              <w:bottom w:type="dxa" w:w="80"/>
              <w:right w:type="dxa" w:w="120"/>
            </w:tcMar>
            <w:vAlign w:val="center"/>
          </w:tcPr>
          <w:p>
            <w:pPr>
              <w:pStyle w:val="MdTableCell"/>
            </w:pPr>
            <w:r>
              <w:t xml:space="preserve">Five-minute demo and integration test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Public GitHub repository</w:t>
            </w:r>
          </w:p>
        </w:tc>
        <w:tc>
          <w:tcPr>
            <w:tcMar>
              <w:top w:type="dxa" w:w="80"/>
              <w:left w:type="dxa" w:w="120"/>
              <w:bottom w:type="dxa" w:w="80"/>
              <w:right w:type="dxa" w:w="120"/>
            </w:tcMar>
            <w:vAlign w:val="center"/>
          </w:tcPr>
          <w:p>
            <w:pPr>
              <w:pStyle w:val="MdTableCell"/>
            </w:pPr>
            <w:r>
              <w:t xml:space="preserve">Repository named </w:t>
            </w:r>
            <w:r>
              <w:rPr>
                <w:rStyle w:val="MdCode"/>
                <w:u w:val="single"/>
              </w:rPr>
              <w:t xml:space="preserve">strata402</w:t>
            </w:r>
          </w:p>
        </w:tc>
        <w:tc>
          <w:tcPr>
            <w:tcBorders>
              <w:right w:val="none"/>
            </w:tcBorders>
            <w:tcMar>
              <w:top w:type="dxa" w:w="80"/>
              <w:left w:type="dxa" w:w="120"/>
              <w:bottom w:type="dxa" w:w="80"/>
              <w:right w:type="dxa" w:w="120"/>
            </w:tcMar>
            <w:vAlign w:val="center"/>
          </w:tcPr>
          <w:p>
            <w:pPr>
              <w:pStyle w:val="MdTableCell"/>
            </w:pPr>
            <w:r>
              <w:t xml:space="preserve">Public URL in submission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README</w:t>
            </w:r>
          </w:p>
        </w:tc>
        <w:tc>
          <w:tcPr>
            <w:tcMar>
              <w:top w:type="dxa" w:w="80"/>
              <w:left w:type="dxa" w:w="120"/>
              <w:bottom w:type="dxa" w:w="80"/>
              <w:right w:type="dxa" w:w="120"/>
            </w:tcMar>
            <w:vAlign w:val="center"/>
          </w:tcPr>
          <w:p>
            <w:pPr>
              <w:pStyle w:val="MdTableCell"/>
            </w:pPr>
            <w:r>
              <w:t xml:space="preserve">Setup, architecture, payment flow, tests, and limitations</w:t>
            </w:r>
          </w:p>
        </w:tc>
        <w:tc>
          <w:tcPr>
            <w:tcBorders>
              <w:right w:val="none"/>
            </w:tcBorders>
            <w:tcMar>
              <w:top w:type="dxa" w:w="80"/>
              <w:left w:type="dxa" w:w="120"/>
              <w:bottom w:type="dxa" w:w="80"/>
              <w:right w:type="dxa" w:w="120"/>
            </w:tcMar>
            <w:vAlign w:val="center"/>
          </w:tcPr>
          <w:p>
            <w:pPr>
              <w:pStyle w:val="MdTableCell"/>
            </w:pPr>
            <w:r>
              <w:t xml:space="preserve">Repository documentation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Demo under five minutes</w:t>
            </w:r>
          </w:p>
        </w:tc>
        <w:tc>
          <w:tcPr>
            <w:tcBorders>
              <w:bottom w:val="single" w:color="E1E4E8" w:sz="4"/>
            </w:tcBorders>
            <w:tcMar>
              <w:top w:type="dxa" w:w="80"/>
              <w:left w:type="dxa" w:w="120"/>
              <w:bottom w:type="dxa" w:w="80"/>
              <w:right w:type="dxa" w:w="120"/>
            </w:tcMar>
            <w:vAlign w:val="center"/>
          </w:tcPr>
          <w:p>
            <w:pPr>
              <w:pStyle w:val="MdTableCell"/>
            </w:pPr>
            <w:r>
              <w:t xml:space="preserve">Scripted demonstration of one paid request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Video link</w:t>
            </w:r>
          </w:p>
        </w:tc>
      </w:tr>
    </w:tbl>
    <w:p>
      <w:pPr>
        <w:pStyle w:val="Heading3"/>
        <w:pStyle w:val="MdHeading3"/>
      </w:pPr>
      <w:r>
        <w:t xml:space="preserve">6.2 Competitive advantages</w:t>
      </w:r>
    </w:p>
    <w:p>
      <w:pPr>
        <w:pStyle w:val="MdParagraph"/>
      </w:pPr>
      <w:r>
        <w:t xml:space="preserve">The strongest competitive advantages are a specialized Hedera DeFi use case, a standalone buyer agent, metered pricing, structured financial output, and verifiable settlement evidence. HCS audit logging, service discovery, and live Mirror Node enrichment are recommended additions only after the payment path is reliable.</w:t>
      </w:r>
    </w:p>
    <w:p>
      <w:pPr>
        <w:pStyle w:val="MdSpace"/>
        <w:spacing w:before="0" w:after="60"/>
      </w:pPr>
    </w:p>
    <w:p>
      <w:pPr>
        <w:pStyle w:val="Heading3"/>
        <w:pStyle w:val="MdHeading3"/>
      </w:pPr>
      <w:r>
        <w:t xml:space="preserve">6.3 Stretch goals</w:t>
      </w:r>
    </w:p>
    <w:p>
      <w:pPr>
        <w:pStyle w:val="MdParagraph"/>
      </w:pPr>
      <w:r>
        <w:t xml:space="preserve">Stretch goals include HCS audit topics, HCS-14-compatible service discovery, SaucerSwap data adapters, Bonzo data adapters, HTS-token payments, dynamic metering by analysis depth, a dashboard, and a limited smart-contract demonstration. None of these may delay the first real paid request.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Focused MVP Definition</w:t>
      </w:r>
    </w:p>
    <w:p>
      <w:pPr>
        <w:pStyle w:val="Heading3"/>
        <w:pStyle w:val="MdHeading3"/>
      </w:pPr>
      <w:r>
        <w:t xml:space="preserve">7.1 What the MVP does</w:t>
      </w:r>
    </w:p>
    <w:p>
      <w:pPr>
        <w:pStyle w:val="MdParagraph"/>
      </w:pPr>
      <w:r>
        <w:t xml:space="preserve">The MVP exposes one paid AI-assisted service: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/v1/strategy/yield-risk</w:t>
      </w:r>
    </w:p>
    <w:p>
      <w:pPr>
        <w:pStyle w:val="MdSpace"/>
        <w:spacing w:before="0" w:after="60"/>
      </w:pPr>
    </w:p>
    <w:p>
      <w:pPr>
        <w:pStyle w:val="MdParagraph"/>
      </w:pPr>
      <w:r>
        <w:t xml:space="preserve">The request contains: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"accountId"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"0.0.xxxxx"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"riskTolerance"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"conservative"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"amountHbar"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response contains: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"strata402-agent"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"Conservative Hedera Yield Strategy"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"riskScore"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"recommendation"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"marketContext"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"network"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"hedera:testnet"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"sources"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"dataFreshness"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"payment"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"protocol"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"x402"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"network"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"hedera:testnet"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"HBAR"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"transactionId"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"disclaimer"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"This information is not financial advice."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7.2 What the MVP does not do</w:t>
      </w:r>
    </w:p>
    <w:p>
      <w:pPr>
        <w:pStyle w:val="MdParagraph"/>
      </w:pPr>
      <w:r>
        <w:t xml:space="preserve">The MVP does not custody funds, execute user trades, deploy the yield vault, support mainnet, support cross-chain payments, implement full RAG, require Privy, perform autonomous borrowing, or guarantee yield. It does not present fallback data as live data.</w:t>
      </w:r>
    </w:p>
    <w:p>
      <w:pPr>
        <w:pStyle w:val="MdSpace"/>
        <w:spacing w:before="0" w:after="60"/>
      </w:pPr>
    </w:p>
    <w:p>
      <w:pPr>
        <w:pStyle w:val="Heading3"/>
        <w:pStyle w:val="MdHeading3"/>
      </w:pPr>
      <w:r>
        <w:t xml:space="preserve">7.3 Definition of done</w:t>
      </w:r>
    </w:p>
    <w:p>
      <w:pPr>
        <w:pStyle w:val="MdParagraph"/>
      </w:pPr>
      <w:r>
        <w:t xml:space="preserve">The MVP is complete only when all of the following are true:</w:t>
      </w:r>
    </w:p>
    <w:p>
      <w:pPr>
        <w:pStyle w:val="MdSpace"/>
        <w:spacing w:before="0" w:after="60"/>
      </w:pPr>
    </w:p>
    <w:p>
      <w:pPr>
        <w:pStyle w:val="MdListItem"/>
        <w:numPr>
          <w:ilvl w:val="0"/>
          <w:numId w:val="2"/>
        </w:numPr>
      </w:pPr>
      <w:r>
        <w:t xml:space="preserve">The repository installs and tests successfully.</w:t>
      </w:r>
    </w:p>
    <w:p>
      <w:pPr>
        <w:pStyle w:val="MdListItem"/>
        <w:numPr>
          <w:ilvl w:val="0"/>
          <w:numId w:val="2"/>
        </w:numPr>
      </w:pPr>
      <w:r>
        <w:t xml:space="preserve">The service returns </w:t>
      </w:r>
      <w:r>
        <w:rPr>
          <w:rStyle w:val="MdCode"/>
          <w:u w:val="single"/>
        </w:rPr>
        <w:t xml:space="preserve">200</w:t>
      </w:r>
      <w:r>
        <w:t xml:space="preserve"> for </w:t>
      </w:r>
      <w:r>
        <w:rPr>
          <w:rStyle w:val="MdCode"/>
          <w:u w:val="single"/>
        </w:rPr>
        <w:t xml:space="preserve">/health</w:t>
      </w:r>
      <w:r>
        <w:t xml:space="preserve">.</w:t>
      </w:r>
    </w:p>
    <w:p>
      <w:pPr>
        <w:pStyle w:val="MdListItem"/>
        <w:numPr>
          <w:ilvl w:val="0"/>
          <w:numId w:val="2"/>
        </w:numPr>
      </w:pPr>
      <w:r>
        <w:t xml:space="preserve">The service returns a discoverable service description.</w:t>
      </w:r>
    </w:p>
    <w:p>
      <w:pPr>
        <w:pStyle w:val="MdListItem"/>
        <w:numPr>
          <w:ilvl w:val="0"/>
          <w:numId w:val="2"/>
        </w:numPr>
      </w:pPr>
      <w:r>
        <w:t xml:space="preserve">An unpaid strategy request returns HTTP </w:t>
      </w:r>
      <w:r>
        <w:rPr>
          <w:rStyle w:val="MdCode"/>
          <w:u w:val="single"/>
        </w:rPr>
        <w:t xml:space="preserve">402</w:t>
      </w:r>
      <w:r>
        <w:t xml:space="preserve"> with canonical x402 v2 payment requirements.</w:t>
      </w:r>
    </w:p>
    <w:p>
      <w:pPr>
        <w:pStyle w:val="MdListItem"/>
        <w:numPr>
          <w:ilvl w:val="0"/>
          <w:numId w:val="2"/>
        </w:numPr>
      </w:pPr>
      <w:r>
        <w:t xml:space="preserve">The consuming agent creates a valid Hedera payment payload.</w:t>
      </w:r>
    </w:p>
    <w:p>
      <w:pPr>
        <w:pStyle w:val="MdListItem"/>
        <w:numPr>
          <w:ilvl w:val="0"/>
          <w:numId w:val="2"/>
        </w:numPr>
      </w:pPr>
      <w:r>
        <w:t xml:space="preserve">Blocky402 verifies and settles the payload on Hedera testnet.</w:t>
      </w:r>
    </w:p>
    <w:p>
      <w:pPr>
        <w:pStyle w:val="MdListItem"/>
        <w:numPr>
          <w:ilvl w:val="0"/>
          <w:numId w:val="2"/>
        </w:numPr>
      </w:pPr>
      <w:r>
        <w:t xml:space="preserve">The agent retries the request with the canonical x402 v2 payment transport.</w:t>
      </w:r>
    </w:p>
    <w:p>
      <w:pPr>
        <w:pStyle w:val="MdListItem"/>
        <w:numPr>
          <w:ilvl w:val="0"/>
          <w:numId w:val="2"/>
        </w:numPr>
      </w:pPr>
      <w:r>
        <w:t xml:space="preserve">The service returns a structured analysis.</w:t>
      </w:r>
    </w:p>
    <w:p>
      <w:pPr>
        <w:pStyle w:val="MdListItem"/>
        <w:numPr>
          <w:ilvl w:val="0"/>
          <w:numId w:val="2"/>
        </w:numPr>
      </w:pPr>
      <w:r>
        <w:t xml:space="preserve">The response contains settlement evidence or a settlement reference.</w:t>
      </w:r>
    </w:p>
    <w:p>
      <w:pPr>
        <w:pStyle w:val="MdListItem"/>
        <w:numPr>
          <w:ilvl w:val="0"/>
          <w:numId w:val="2"/>
        </w:numPr>
      </w:pPr>
      <w:r>
        <w:t xml:space="preserve">The transaction is visible on Hedera testnet through HashScan.</w:t>
      </w:r>
    </w:p>
    <w:p>
      <w:pPr>
        <w:pStyle w:val="MdListItem"/>
        <w:numPr>
          <w:ilvl w:val="0"/>
          <w:numId w:val="2"/>
        </w:numPr>
      </w:pPr>
      <w:r>
        <w:t xml:space="preserve">The end-to-end test and demo run are documented.</w:t>
      </w:r>
    </w:p>
    <w:p>
      <w:pPr>
        <w:pStyle w:val="MdListItem"/>
        <w:numPr>
          <w:ilvl w:val="0"/>
          <w:numId w:val="2"/>
        </w:numPr>
      </w:pPr>
      <w:r>
        <w:t xml:space="preserve">No secret is committed to the repository.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Agent and User Journey</w:t>
      </w:r>
    </w:p>
    <w:p>
      <w:pPr>
        <w:pStyle w:val="MdParagraph"/>
      </w:pPr>
      <w:r>
        <w:t xml:space="preserve">A developer first calls </w:t>
      </w:r>
      <w:r>
        <w:rPr>
          <w:rStyle w:val="MdCode"/>
          <w:u w:val="single"/>
        </w:rPr>
        <w:t xml:space="preserve">GET /v1/services</w:t>
      </w:r>
      <w:r>
        <w:t xml:space="preserve"> to discover the service, price, network, accepted asset, and endpoint. The consuming agent then sends the analysis request without payment. The resource server responds with HTTP 402 and a </w:t>
      </w:r>
      <w:r>
        <w:rPr>
          <w:rStyle w:val="MdCode"/>
          <w:u w:val="single"/>
        </w:rPr>
        <w:t xml:space="preserve">PAYMENT-REQUIRED</w:t>
      </w:r>
      <w:r>
        <w:t xml:space="preserve"> header containing the x402 v2 </w:t>
      </w:r>
      <w:r>
        <w:rPr>
          <w:rStyle w:val="MdCode"/>
          <w:u w:val="single"/>
        </w:rPr>
        <w:t xml:space="preserve">PaymentRequired</w:t>
      </w:r>
      <w:r>
        <w:t xml:space="preserve"> object.</w:t>
      </w:r>
    </w:p>
    <w:p>
      <w:pPr>
        <w:pStyle w:val="MdSpace"/>
        <w:spacing w:before="0" w:after="60"/>
      </w:pPr>
    </w:p>
    <w:p>
      <w:pPr>
        <w:pStyle w:val="MdParagraph"/>
      </w:pPr>
      <w:r>
        <w:t xml:space="preserve">The agent selects the Hedera </w:t>
      </w:r>
      <w:r>
        <w:rPr>
          <w:rStyle w:val="MdCode"/>
          <w:u w:val="single"/>
        </w:rPr>
        <w:t xml:space="preserve">exact</w:t>
      </w:r>
      <w:r>
        <w:t xml:space="preserve"> requirement, validates the network, asset, recipient, amount, timeout, and fee payer, and creates a partially signed Hedera </w:t>
      </w:r>
      <w:r>
        <w:rPr>
          <w:rStyle w:val="MdCode"/>
          <w:u w:val="single"/>
        </w:rPr>
        <w:t xml:space="preserve">TransferTransaction</w:t>
      </w:r>
      <w:r>
        <w:t xml:space="preserve">. The HBAR amount is represented in tinybars. The agent serializes that transaction into the Hedera x402 </w:t>
      </w:r>
      <w:r>
        <w:rPr>
          <w:rStyle w:val="MdCode"/>
          <w:u w:val="single"/>
        </w:rPr>
        <w:t xml:space="preserve">PaymentPayload</w:t>
      </w:r>
      <w:r>
        <w:t xml:space="preserve"> and sends the retry request using the transport header produced by the current official SDK.</w:t>
      </w:r>
    </w:p>
    <w:p>
      <w:pPr>
        <w:pStyle w:val="MdSpace"/>
        <w:spacing w:before="0" w:after="60"/>
      </w:pPr>
    </w:p>
    <w:p>
      <w:pPr>
        <w:pStyle w:val="MdParagraph"/>
      </w:pPr>
      <w:r>
        <w:t xml:space="preserve">The gateway forwards the payment payload and requirements to Blocky402 for verification. If verification succeeds, the gateway requests settlement. After successful settlement, the gateway invokes the analysis engine and returns the result with settlement metadata. The agent prints the strategy, risk score, transaction ID, and HashScan URL.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System Architecture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flowchart LR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A[Strata402 Consuming Agent] --&gt;|GET service metadata| G[API Gateway]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--&gt;|Unpaid POST| 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--&gt;|HTTP 402 + PAYMENT-REQUIRED| 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--&gt;|Signed PaymentPayload + PAYMENT-SIGNATURE| 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--&gt;|verify / settle| B[Blocky402 Facilitator]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 --&gt; H[Hedera Testnet]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--&gt;|Verified request| E[AI Risk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--&gt; M[Hedera Mirror Node]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--&gt; S[SaucerSwap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--&gt; Z[Bonzo Adapter]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--&gt; Q[Optional HCS Audit Logger]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--&gt; R[HashScan Evidence]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--&gt;|Paid response + PAYMENT-RESPONSE| A</w:t>
      </w:r>
    </w:p>
    <w:p>
      <w:pPr>
        <w:pStyle w:val="MdSpace"/>
        <w:spacing w:before="0" w:after="60"/>
      </w:pPr>
    </w:p>
    <w:p>
      <w:pPr>
        <w:pStyle w:val="Heading3"/>
        <w:pStyle w:val="MdHeading3"/>
      </w:pPr>
      <w:r>
        <w:t xml:space="preserve">Component responsibilities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Component</w:t>
            </w:r>
          </w:p>
        </w:tc>
        <w:tc>
          <w:tcPr>
            <w:tcMar>
              <w:top w:type="dxa" w:w="100"/>
              <w:left w:type="dxa" w:w="120"/>
              <w:bottom w:type="dxa" w:w="100"/>
              <w:right w:type="dxa" w:w="120"/>
            </w:tcMar>
            <w:vAlign w:val="center"/>
          </w:tcPr>
          <w:p>
            <w:pPr>
              <w:pStyle w:val="MdTableHeader"/>
            </w:pPr>
            <w:r>
              <w:t xml:space="preserve">Responsibility</w:t>
            </w:r>
          </w:p>
        </w:tc>
        <w:tc>
          <w:tcPr>
            <w:tcBorders>
              <w:right w:val="none"/>
            </w:tcBorders>
            <w:tcMar>
              <w:top w:type="dxa" w:w="100"/>
              <w:left w:type="dxa" w:w="120"/>
              <w:bottom w:type="dxa" w:w="100"/>
              <w:right w:type="dxa" w:w="120"/>
            </w:tcMar>
            <w:vAlign w:val="center"/>
          </w:tcPr>
          <w:p>
            <w:pPr>
              <w:pStyle w:val="MdTableHeader"/>
            </w:pPr>
            <w:r>
              <w:t xml:space="preserve">MVP 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Consuming agent</w:t>
            </w:r>
          </w:p>
        </w:tc>
        <w:tc>
          <w:tcPr>
            <w:tcMar>
              <w:top w:type="dxa" w:w="80"/>
              <w:left w:type="dxa" w:w="120"/>
              <w:bottom w:type="dxa" w:w="80"/>
              <w:right w:type="dxa" w:w="120"/>
            </w:tcMar>
            <w:vAlign w:val="center"/>
          </w:tcPr>
          <w:p>
            <w:pPr>
              <w:pStyle w:val="MdTableCell"/>
            </w:pPr>
            <w:r>
              <w:t xml:space="preserve">Discovery, payment creation, retry, result display</w:t>
            </w:r>
          </w:p>
        </w:tc>
        <w:tc>
          <w:tcPr>
            <w:tcBorders>
              <w:right w:val="none"/>
            </w:tcBorders>
            <w:tcMar>
              <w:top w:type="dxa" w:w="80"/>
              <w:left w:type="dxa" w:w="120"/>
              <w:bottom w:type="dxa" w:w="80"/>
              <w:right w:type="dxa" w:w="120"/>
            </w:tcMar>
            <w:vAlign w:val="center"/>
          </w:tcPr>
          <w:p>
            <w:pPr>
              <w:pStyle w:val="MdTableCell"/>
            </w:pPr>
            <w:r>
              <w:t xml:space="preserve">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API gateway</w:t>
            </w:r>
          </w:p>
        </w:tc>
        <w:tc>
          <w:tcPr>
            <w:tcMar>
              <w:top w:type="dxa" w:w="80"/>
              <w:left w:type="dxa" w:w="120"/>
              <w:bottom w:type="dxa" w:w="80"/>
              <w:right w:type="dxa" w:w="120"/>
            </w:tcMar>
            <w:vAlign w:val="center"/>
          </w:tcPr>
          <w:p>
            <w:pPr>
              <w:pStyle w:val="MdTableCell"/>
            </w:pPr>
            <w:r>
              <w:t xml:space="preserve">Resource server, validation, x402 integration, response shaping</w:t>
            </w:r>
          </w:p>
        </w:tc>
        <w:tc>
          <w:tcPr>
            <w:tcBorders>
              <w:right w:val="none"/>
            </w:tcBorders>
            <w:tcMar>
              <w:top w:type="dxa" w:w="80"/>
              <w:left w:type="dxa" w:w="120"/>
              <w:bottom w:type="dxa" w:w="80"/>
              <w:right w:type="dxa" w:w="120"/>
            </w:tcMar>
            <w:vAlign w:val="center"/>
          </w:tcPr>
          <w:p>
            <w:pPr>
              <w:pStyle w:val="MdTableCell"/>
            </w:pPr>
            <w:r>
              <w:t xml:space="preserve">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Blocky402</w:t>
            </w:r>
          </w:p>
        </w:tc>
        <w:tc>
          <w:tcPr>
            <w:tcMar>
              <w:top w:type="dxa" w:w="80"/>
              <w:left w:type="dxa" w:w="120"/>
              <w:bottom w:type="dxa" w:w="80"/>
              <w:right w:type="dxa" w:w="120"/>
            </w:tcMar>
            <w:vAlign w:val="center"/>
          </w:tcPr>
          <w:p>
            <w:pPr>
              <w:pStyle w:val="MdTableCell"/>
            </w:pPr>
            <w:r>
              <w:t xml:space="preserve">Payment verification and settlement</w:t>
            </w:r>
          </w:p>
        </w:tc>
        <w:tc>
          <w:tcPr>
            <w:tcBorders>
              <w:right w:val="none"/>
            </w:tcBorders>
            <w:tcMar>
              <w:top w:type="dxa" w:w="80"/>
              <w:left w:type="dxa" w:w="120"/>
              <w:bottom w:type="dxa" w:w="80"/>
              <w:right w:type="dxa" w:w="120"/>
            </w:tcMar>
            <w:vAlign w:val="center"/>
          </w:tcPr>
          <w:p>
            <w:pPr>
              <w:pStyle w:val="MdTableCell"/>
            </w:pPr>
            <w:r>
              <w:t xml:space="preserve">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Hedera testnet</w:t>
            </w:r>
          </w:p>
        </w:tc>
        <w:tc>
          <w:tcPr>
            <w:tcMar>
              <w:top w:type="dxa" w:w="80"/>
              <w:left w:type="dxa" w:w="120"/>
              <w:bottom w:type="dxa" w:w="80"/>
              <w:right w:type="dxa" w:w="120"/>
            </w:tcMar>
            <w:vAlign w:val="center"/>
          </w:tcPr>
          <w:p>
            <w:pPr>
              <w:pStyle w:val="MdTableCell"/>
            </w:pPr>
            <w:r>
              <w:t xml:space="preserve">Settlement and transaction evidence</w:t>
            </w:r>
          </w:p>
        </w:tc>
        <w:tc>
          <w:tcPr>
            <w:tcBorders>
              <w:right w:val="none"/>
            </w:tcBorders>
            <w:tcMar>
              <w:top w:type="dxa" w:w="80"/>
              <w:left w:type="dxa" w:w="120"/>
              <w:bottom w:type="dxa" w:w="80"/>
              <w:right w:type="dxa" w:w="120"/>
            </w:tcMar>
            <w:vAlign w:val="center"/>
          </w:tcPr>
          <w:p>
            <w:pPr>
              <w:pStyle w:val="MdTableCell"/>
            </w:pPr>
            <w:r>
              <w:t xml:space="preserve">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engine</w:t>
            </w:r>
          </w:p>
        </w:tc>
        <w:tc>
          <w:tcPr>
            <w:tcMar>
              <w:top w:type="dxa" w:w="80"/>
              <w:left w:type="dxa" w:w="120"/>
              <w:bottom w:type="dxa" w:w="80"/>
              <w:right w:type="dxa" w:w="120"/>
            </w:tcMar>
            <w:vAlign w:val="center"/>
          </w:tcPr>
          <w:p>
            <w:pPr>
              <w:pStyle w:val="MdTableCell"/>
            </w:pPr>
            <w:r>
              <w:t xml:space="preserve">Deterministic risk logic and AI explanation</w:t>
            </w:r>
          </w:p>
        </w:tc>
        <w:tc>
          <w:tcPr>
            <w:tcBorders>
              <w:right w:val="none"/>
            </w:tcBorders>
            <w:tcMar>
              <w:top w:type="dxa" w:w="80"/>
              <w:left w:type="dxa" w:w="120"/>
              <w:bottom w:type="dxa" w:w="80"/>
              <w:right w:type="dxa" w:w="120"/>
            </w:tcMar>
            <w:vAlign w:val="center"/>
          </w:tcPr>
          <w:p>
            <w:pPr>
              <w:pStyle w:val="MdTableCell"/>
            </w:pPr>
            <w:r>
              <w:t xml:space="preserve">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Mirror Node</w:t>
            </w:r>
          </w:p>
        </w:tc>
        <w:tc>
          <w:tcPr>
            <w:tcMar>
              <w:top w:type="dxa" w:w="80"/>
              <w:left w:type="dxa" w:w="120"/>
              <w:bottom w:type="dxa" w:w="80"/>
              <w:right w:type="dxa" w:w="120"/>
            </w:tcMar>
            <w:vAlign w:val="center"/>
          </w:tcPr>
          <w:p>
            <w:pPr>
              <w:pStyle w:val="MdTableCell"/>
            </w:pPr>
            <w:r>
              <w:t xml:space="preserve">Account and market context enrichment</w:t>
            </w:r>
          </w:p>
        </w:tc>
        <w:tc>
          <w:tcPr>
            <w:tcBorders>
              <w:right w:val="none"/>
            </w:tcBorders>
            <w:tcMar>
              <w:top w:type="dxa" w:w="80"/>
              <w:left w:type="dxa" w:w="120"/>
              <w:bottom w:type="dxa" w:w="80"/>
              <w:right w:type="dxa" w:w="120"/>
            </w:tcMar>
            <w:vAlign w:val="center"/>
          </w:tcPr>
          <w:p>
            <w:pPr>
              <w:pStyle w:val="MdTableCell"/>
            </w:pPr>
            <w:r>
              <w:t xml:space="preserve">Recommended after payment path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SaucerSwap adapter</w:t>
            </w:r>
          </w:p>
        </w:tc>
        <w:tc>
          <w:tcPr>
            <w:tcMar>
              <w:top w:type="dxa" w:w="80"/>
              <w:left w:type="dxa" w:w="120"/>
              <w:bottom w:type="dxa" w:w="80"/>
              <w:right w:type="dxa" w:w="120"/>
            </w:tcMar>
            <w:vAlign w:val="center"/>
          </w:tcPr>
          <w:p>
            <w:pPr>
              <w:pStyle w:val="MdTableCell"/>
            </w:pPr>
            <w:r>
              <w:t xml:space="preserve">Verified pool and route context</w:t>
            </w:r>
          </w:p>
        </w:tc>
        <w:tc>
          <w:tcPr>
            <w:tcBorders>
              <w:right w:val="none"/>
            </w:tcBorders>
            <w:tcMar>
              <w:top w:type="dxa" w:w="80"/>
              <w:left w:type="dxa" w:w="120"/>
              <w:bottom w:type="dxa" w:w="80"/>
              <w:right w:type="dxa" w:w="120"/>
            </w:tcMar>
            <w:vAlign w:val="center"/>
          </w:tcPr>
          <w:p>
            <w:pPr>
              <w:pStyle w:val="MdTableCell"/>
            </w:pPr>
            <w:r>
              <w:t xml:space="preserve">Recommended after MVP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Bonzo adapter</w:t>
            </w:r>
          </w:p>
        </w:tc>
        <w:tc>
          <w:tcPr>
            <w:tcMar>
              <w:top w:type="dxa" w:w="80"/>
              <w:left w:type="dxa" w:w="120"/>
              <w:bottom w:type="dxa" w:w="80"/>
              <w:right w:type="dxa" w:w="120"/>
            </w:tcMar>
            <w:vAlign w:val="center"/>
          </w:tcPr>
          <w:p>
            <w:pPr>
              <w:pStyle w:val="MdTableCell"/>
            </w:pPr>
            <w:r>
              <w:t xml:space="preserve">Verified lending context</w:t>
            </w:r>
          </w:p>
        </w:tc>
        <w:tc>
          <w:tcPr>
            <w:tcBorders>
              <w:right w:val="none"/>
            </w:tcBorders>
            <w:tcMar>
              <w:top w:type="dxa" w:w="80"/>
              <w:left w:type="dxa" w:w="120"/>
              <w:bottom w:type="dxa" w:w="80"/>
              <w:right w:type="dxa" w:w="120"/>
            </w:tcMar>
            <w:vAlign w:val="center"/>
          </w:tcPr>
          <w:p>
            <w:pPr>
              <w:pStyle w:val="MdTableCell"/>
            </w:pPr>
            <w:r>
              <w:t xml:space="preserve">Recommended after MVP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HCS logger</w:t>
            </w:r>
          </w:p>
        </w:tc>
        <w:tc>
          <w:tcPr>
            <w:tcMar>
              <w:top w:type="dxa" w:w="80"/>
              <w:left w:type="dxa" w:w="120"/>
              <w:bottom w:type="dxa" w:w="80"/>
              <w:right w:type="dxa" w:w="120"/>
            </w:tcMar>
            <w:vAlign w:val="center"/>
          </w:tcPr>
          <w:p>
            <w:pPr>
              <w:pStyle w:val="MdTableCell"/>
            </w:pPr>
            <w:r>
              <w:t xml:space="preserve">Immutable audit metadata</w:t>
            </w:r>
          </w:p>
        </w:tc>
        <w:tc>
          <w:tcPr>
            <w:tcBorders>
              <w:right w:val="none"/>
            </w:tcBorders>
            <w:tcMar>
              <w:top w:type="dxa" w:w="80"/>
              <w:left w:type="dxa" w:w="120"/>
              <w:bottom w:type="dxa" w:w="80"/>
              <w:right w:type="dxa" w:w="120"/>
            </w:tcMar>
            <w:vAlign w:val="center"/>
          </w:tcPr>
          <w:p>
            <w:pPr>
              <w:pStyle w:val="MdTableCell"/>
            </w:pPr>
            <w:r>
              <w:t xml:space="preserve">Stretch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 dashboard</w:t>
            </w:r>
          </w:p>
        </w:tc>
        <w:tc>
          <w:tcPr>
            <w:tcMar>
              <w:top w:type="dxa" w:w="80"/>
              <w:left w:type="dxa" w:w="120"/>
              <w:bottom w:type="dxa" w:w="80"/>
              <w:right w:type="dxa" w:w="120"/>
            </w:tcMar>
            <w:vAlign w:val="center"/>
          </w:tcPr>
          <w:p>
            <w:pPr>
              <w:pStyle w:val="MdTableCell"/>
            </w:pPr>
            <w:r>
              <w:t xml:space="preserve">Human-facing visualization</w:t>
            </w:r>
          </w:p>
        </w:tc>
        <w:tc>
          <w:tcPr>
            <w:tcBorders>
              <w:right w:val="none"/>
            </w:tcBorders>
            <w:tcMar>
              <w:top w:type="dxa" w:w="80"/>
              <w:left w:type="dxa" w:w="120"/>
              <w:bottom w:type="dxa" w:w="80"/>
              <w:right w:type="dxa" w:w="120"/>
            </w:tcMar>
            <w:vAlign w:val="center"/>
          </w:tcPr>
          <w:p>
            <w:pPr>
              <w:pStyle w:val="MdTableCell"/>
            </w:pPr>
            <w:r>
              <w:t xml:space="preserve">Stretch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Smart contracts</w:t>
            </w:r>
          </w:p>
        </w:tc>
        <w:tc>
          <w:tcPr>
            <w:tcBorders>
              <w:bottom w:val="single" w:color="E1E4E8" w:sz="4"/>
            </w:tcBorders>
            <w:tcMar>
              <w:top w:type="dxa" w:w="80"/>
              <w:left w:type="dxa" w:w="120"/>
              <w:bottom w:type="dxa" w:w="80"/>
              <w:right w:type="dxa" w:w="120"/>
            </w:tcMar>
            <w:vAlign w:val="center"/>
          </w:tcPr>
          <w:p>
            <w:pPr>
              <w:pStyle w:val="MdTableCell"/>
            </w:pPr>
            <w:r>
              <w:t xml:space="preserve">Automation and future execution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Deferred</w:t>
            </w:r>
          </w:p>
        </w:tc>
      </w:tr>
    </w:tbl>
    <w:p>
      <w:pPr>
        <w:pStyle w:val="MdHr"/>
        <w:pBdr>
          <w:bottom w:val="single" w:color="auto" w:sz="6" w:space="1"/>
        </w:pBdr>
      </w:pPr>
    </w:p>
    <w:p>
      <w:pPr>
        <w:pStyle w:val="MdSpace"/>
        <w:spacing w:before="0" w:after="60"/>
      </w:pPr>
    </w:p>
    <w:p>
      <w:pPr>
        <w:pStyle w:val="Heading2"/>
        <w:pStyle w:val="MdHeading2"/>
      </w:pPr>
      <w:r>
        <w:t xml:space="preserve">10. Recommended Technology Stack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pPr>
            <w:r>
              <w:t xml:space="preserve">Choice</w:t>
            </w:r>
          </w:p>
        </w:tc>
        <w:tc>
          <w:tcPr>
            <w:tcBorders>
              <w:right w:val="none"/>
            </w:tcBorders>
            <w:tcMar>
              <w:top w:type="dxa" w:w="100"/>
              <w:left w:type="dxa" w:w="120"/>
              <w:bottom w:type="dxa" w:w="100"/>
              <w:right w:type="dxa" w:w="120"/>
            </w:tcMar>
            <w:vAlign w:val="center"/>
          </w:tcPr>
          <w:p>
            <w:pPr>
              <w:pStyle w:val="MdTableHeader"/>
            </w:pPr>
            <w:r>
              <w:t xml:space="preserve">Reason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TypeScript runtime</w:t>
            </w:r>
          </w:p>
        </w:tc>
        <w:tc>
          <w:tcPr>
            <w:tcMar>
              <w:top w:type="dxa" w:w="80"/>
              <w:left w:type="dxa" w:w="120"/>
              <w:bottom w:type="dxa" w:w="80"/>
              <w:right w:type="dxa" w:w="120"/>
            </w:tcMar>
            <w:vAlign w:val="center"/>
          </w:tcPr>
          <w:p>
            <w:pPr>
              <w:pStyle w:val="MdTableCell"/>
            </w:pPr>
            <w:r>
              <w:t xml:space="preserve">Bun</w:t>
            </w:r>
          </w:p>
        </w:tc>
        <w:tc>
          <w:tcPr>
            <w:tcBorders>
              <w:right w:val="none"/>
            </w:tcBorders>
            <w:tcMar>
              <w:top w:type="dxa" w:w="80"/>
              <w:left w:type="dxa" w:w="120"/>
              <w:bottom w:type="dxa" w:w="80"/>
              <w:right w:type="dxa" w:w="120"/>
            </w:tcMar>
            <w:vAlign w:val="center"/>
          </w:tcPr>
          <w:p>
            <w:pPr>
              <w:pStyle w:val="MdTableCell"/>
            </w:pPr>
            <w:r>
              <w:t xml:space="preserve">Fast workspace tooling and scripts for the monorepo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TypeScript gateway</w:t>
            </w:r>
          </w:p>
        </w:tc>
        <w:tc>
          <w:tcPr>
            <w:tcMar>
              <w:top w:type="dxa" w:w="80"/>
              <w:left w:type="dxa" w:w="120"/>
              <w:bottom w:type="dxa" w:w="80"/>
              <w:right w:type="dxa" w:w="120"/>
            </w:tcMar>
            <w:vAlign w:val="center"/>
          </w:tcPr>
          <w:p>
            <w:pPr>
              <w:pStyle w:val="MdTableCell"/>
            </w:pPr>
            <w:r>
              <w:t xml:space="preserve">Express</w:t>
            </w:r>
          </w:p>
        </w:tc>
        <w:tc>
          <w:tcPr>
            <w:tcBorders>
              <w:right w:val="none"/>
            </w:tcBorders>
            <w:tcMar>
              <w:top w:type="dxa" w:w="80"/>
              <w:left w:type="dxa" w:w="120"/>
              <w:bottom w:type="dxa" w:w="80"/>
              <w:right w:type="dxa" w:w="120"/>
            </w:tcMar>
            <w:vAlign w:val="center"/>
          </w:tcPr>
          <w:p>
            <w:pPr>
              <w:pStyle w:val="MdTableCell"/>
            </w:pPr>
            <w:r>
              <w:t xml:space="preserve">Mature HTTP middleware and direct x402 integration options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Consuming agent</w:t>
            </w:r>
          </w:p>
        </w:tc>
        <w:tc>
          <w:tcPr>
            <w:tcMar>
              <w:top w:type="dxa" w:w="80"/>
              <w:left w:type="dxa" w:w="120"/>
              <w:bottom w:type="dxa" w:w="80"/>
              <w:right w:type="dxa" w:w="120"/>
            </w:tcMar>
            <w:vAlign w:val="center"/>
          </w:tcPr>
          <w:p>
            <w:pPr>
              <w:pStyle w:val="MdTableCell"/>
            </w:pPr>
            <w:r>
              <w:t xml:space="preserve">TypeScript</w:t>
            </w:r>
          </w:p>
        </w:tc>
        <w:tc>
          <w:tcPr>
            <w:tcBorders>
              <w:right w:val="none"/>
            </w:tcBorders>
            <w:tcMar>
              <w:top w:type="dxa" w:w="80"/>
              <w:left w:type="dxa" w:w="120"/>
              <w:bottom w:type="dxa" w:w="80"/>
              <w:right w:type="dxa" w:w="120"/>
            </w:tcMar>
            <w:vAlign w:val="center"/>
          </w:tcPr>
          <w:p>
            <w:pPr>
              <w:pStyle w:val="MdTableCell"/>
            </w:pPr>
            <w:r>
              <w:t xml:space="preserve">Shared x402 types and official client packages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engine</w:t>
            </w:r>
          </w:p>
        </w:tc>
        <w:tc>
          <w:tcPr>
            <w:tcMar>
              <w:top w:type="dxa" w:w="80"/>
              <w:left w:type="dxa" w:w="120"/>
              <w:bottom w:type="dxa" w:w="80"/>
              <w:right w:type="dxa" w:w="120"/>
            </w:tcMar>
            <w:vAlign w:val="center"/>
          </w:tcPr>
          <w:p>
            <w:pPr>
              <w:pStyle w:val="MdTableCell"/>
            </w:pPr>
            <w:r>
              <w:t xml:space="preserve">Python FastAPI</w:t>
            </w:r>
          </w:p>
        </w:tc>
        <w:tc>
          <w:tcPr>
            <w:tcBorders>
              <w:right w:val="none"/>
            </w:tcBorders>
            <w:tcMar>
              <w:top w:type="dxa" w:w="80"/>
              <w:left w:type="dxa" w:w="120"/>
              <w:bottom w:type="dxa" w:w="80"/>
              <w:right w:type="dxa" w:w="120"/>
            </w:tcMar>
            <w:vAlign w:val="center"/>
          </w:tcPr>
          <w:p>
            <w:pPr>
              <w:pStyle w:val="MdTableCell"/>
            </w:pPr>
            <w:r>
              <w:t xml:space="preserve">Clear API contracts and convenient numerical/data tooling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Hedera SDK</w:t>
            </w:r>
          </w:p>
        </w:tc>
        <w:tc>
          <w:tcPr>
            <w:tcMar>
              <w:top w:type="dxa" w:w="80"/>
              <w:left w:type="dxa" w:w="120"/>
              <w:bottom w:type="dxa" w:w="80"/>
              <w:right w:type="dxa" w:w="120"/>
            </w:tcMar>
            <w:vAlign w:val="center"/>
          </w:tcPr>
          <w:p>
            <w:pPr>
              <w:pStyle w:val="MdTableCell"/>
            </w:pPr>
            <w:r>
              <w:rPr>
                <w:rStyle w:val="MdCode"/>
                <w:u w:val="single"/>
              </w:rPr>
              <w:t xml:space="preserve">@hiero-ledger/sdk</w:t>
            </w:r>
            <w:r>
              <w:t xml:space="preserve"> through the official x402 integration where appropriate</w:t>
            </w:r>
          </w:p>
        </w:tc>
        <w:tc>
          <w:tcPr>
            <w:tcBorders>
              <w:right w:val="none"/>
            </w:tcBorders>
            <w:tcMar>
              <w:top w:type="dxa" w:w="80"/>
              <w:left w:type="dxa" w:w="120"/>
              <w:bottom w:type="dxa" w:w="80"/>
              <w:right w:type="dxa" w:w="120"/>
            </w:tcMar>
            <w:vAlign w:val="center"/>
          </w:tcPr>
          <w:p>
            <w:pPr>
              <w:pStyle w:val="MdTableCell"/>
            </w:pPr>
            <w:r>
              <w:t xml:space="preserve">Current Hedera SDK namespace and compatibility with </w:t>
            </w:r>
            <w:r>
              <w:rPr>
                <w:rStyle w:val="MdCode"/>
                <w:u w:val="single"/>
              </w:rPr>
              <w:t xml:space="preserve">@x402/hedera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x402 core</w:t>
            </w:r>
          </w:p>
        </w:tc>
        <w:tc>
          <w:tcPr>
            <w:tcMar>
              <w:top w:type="dxa" w:w="80"/>
              <w:left w:type="dxa" w:w="120"/>
              <w:bottom w:type="dxa" w:w="80"/>
              <w:right w:type="dxa" w:w="120"/>
            </w:tcMar>
            <w:vAlign w:val="center"/>
          </w:tcPr>
          <w:p>
            <w:pPr>
              <w:pStyle w:val="MdTableCell"/>
            </w:pPr>
            <w:r>
              <w:rPr>
                <w:rStyle w:val="MdCode"/>
                <w:u w:val="single"/>
              </w:rPr>
              <w:t xml:space="preserve">@x402/core</w:t>
            </w:r>
          </w:p>
        </w:tc>
        <w:tc>
          <w:tcPr>
            <w:tcBorders>
              <w:right w:val="none"/>
            </w:tcBorders>
            <w:tcMar>
              <w:top w:type="dxa" w:w="80"/>
              <w:left w:type="dxa" w:w="120"/>
              <w:bottom w:type="dxa" w:w="80"/>
              <w:right w:type="dxa" w:w="120"/>
            </w:tcMar>
            <w:vAlign w:val="center"/>
          </w:tcPr>
          <w:p>
            <w:pPr>
              <w:pStyle w:val="MdTableCell"/>
            </w:pPr>
            <w:r>
              <w:t xml:space="preserve">Client, server, and facilitator abstractions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Hedera scheme</w:t>
            </w:r>
          </w:p>
        </w:tc>
        <w:tc>
          <w:tcPr>
            <w:tcMar>
              <w:top w:type="dxa" w:w="80"/>
              <w:left w:type="dxa" w:w="120"/>
              <w:bottom w:type="dxa" w:w="80"/>
              <w:right w:type="dxa" w:w="120"/>
            </w:tcMar>
            <w:vAlign w:val="center"/>
          </w:tcPr>
          <w:p>
            <w:pPr>
              <w:pStyle w:val="MdTableCell"/>
            </w:pPr>
            <w:r>
              <w:rPr>
                <w:rStyle w:val="MdCode"/>
                <w:u w:val="single"/>
              </w:rPr>
              <w:t xml:space="preserve">@x402/hedera</w:t>
            </w:r>
          </w:p>
        </w:tc>
        <w:tc>
          <w:tcPr>
            <w:tcBorders>
              <w:right w:val="none"/>
            </w:tcBorders>
            <w:tcMar>
              <w:top w:type="dxa" w:w="80"/>
              <w:left w:type="dxa" w:w="120"/>
              <w:bottom w:type="dxa" w:w="80"/>
              <w:right w:type="dxa" w:w="120"/>
            </w:tcMar>
            <w:vAlign w:val="center"/>
          </w:tcPr>
          <w:p>
            <w:pPr>
              <w:pStyle w:val="MdTableCell"/>
            </w:pPr>
            <w:r>
              <w:t xml:space="preserve">Official Hedera </w:t>
            </w:r>
            <w:r>
              <w:rPr>
                <w:rStyle w:val="MdCode"/>
                <w:u w:val="single"/>
              </w:rPr>
              <w:t xml:space="preserve">exact</w:t>
            </w:r>
            <w:r>
              <w:t xml:space="preserve"> scheme implementation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HTTP client adapter</w:t>
            </w:r>
          </w:p>
        </w:tc>
        <w:tc>
          <w:tcPr>
            <w:tcMar>
              <w:top w:type="dxa" w:w="80"/>
              <w:left w:type="dxa" w:w="120"/>
              <w:bottom w:type="dxa" w:w="80"/>
              <w:right w:type="dxa" w:w="120"/>
            </w:tcMar>
            <w:vAlign w:val="center"/>
          </w:tcPr>
          <w:p>
            <w:pPr>
              <w:pStyle w:val="MdTableCell"/>
            </w:pPr>
            <w:r>
              <w:rPr>
                <w:rStyle w:val="MdCode"/>
                <w:u w:val="single"/>
              </w:rPr>
              <w:t xml:space="preserve">@x402/fetch</w:t>
            </w:r>
            <w:r>
              <w:t xml:space="preserve"> if required by selected version</w:t>
            </w:r>
          </w:p>
        </w:tc>
        <w:tc>
          <w:tcPr>
            <w:tcBorders>
              <w:right w:val="none"/>
            </w:tcBorders>
            <w:tcMar>
              <w:top w:type="dxa" w:w="80"/>
              <w:left w:type="dxa" w:w="120"/>
              <w:bottom w:type="dxa" w:w="80"/>
              <w:right w:type="dxa" w:w="120"/>
            </w:tcMar>
            <w:vAlign w:val="center"/>
          </w:tcPr>
          <w:p>
            <w:pPr>
              <w:pStyle w:val="MdTableCell"/>
            </w:pPr>
            <w:r>
              <w:t xml:space="preserve">Payment-aware request handling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Express adapter</w:t>
            </w:r>
          </w:p>
        </w:tc>
        <w:tc>
          <w:tcPr>
            <w:tcMar>
              <w:top w:type="dxa" w:w="80"/>
              <w:left w:type="dxa" w:w="120"/>
              <w:bottom w:type="dxa" w:w="80"/>
              <w:right w:type="dxa" w:w="120"/>
            </w:tcMar>
            <w:vAlign w:val="center"/>
          </w:tcPr>
          <w:p>
            <w:pPr>
              <w:pStyle w:val="MdTableCell"/>
            </w:pPr>
            <w:r>
              <w:rPr>
                <w:rStyle w:val="MdCode"/>
                <w:u w:val="single"/>
              </w:rPr>
              <w:t xml:space="preserve">@x402/express</w:t>
            </w:r>
            <w:r>
              <w:t xml:space="preserve"> if required by selected version</w:t>
            </w:r>
          </w:p>
        </w:tc>
        <w:tc>
          <w:tcPr>
            <w:tcBorders>
              <w:right w:val="none"/>
            </w:tcBorders>
            <w:tcMar>
              <w:top w:type="dxa" w:w="80"/>
              <w:left w:type="dxa" w:w="120"/>
              <w:bottom w:type="dxa" w:w="80"/>
              <w:right w:type="dxa" w:w="120"/>
            </w:tcMar>
            <w:vAlign w:val="center"/>
          </w:tcPr>
          <w:p>
            <w:pPr>
              <w:pStyle w:val="MdTableCell"/>
            </w:pPr>
            <w:r>
              <w:t xml:space="preserve">Resource-server integration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Contracts</w:t>
            </w:r>
          </w:p>
        </w:tc>
        <w:tc>
          <w:tcPr>
            <w:tcMar>
              <w:top w:type="dxa" w:w="80"/>
              <w:left w:type="dxa" w:w="120"/>
              <w:bottom w:type="dxa" w:w="80"/>
              <w:right w:type="dxa" w:w="120"/>
            </w:tcMar>
            <w:vAlign w:val="center"/>
          </w:tcPr>
          <w:p>
            <w:pPr>
              <w:pStyle w:val="MdTableCell"/>
            </w:pPr>
            <w:r>
              <w:t xml:space="preserve">Hardhat and Solidity</w:t>
            </w:r>
          </w:p>
        </w:tc>
        <w:tc>
          <w:tcPr>
            <w:tcBorders>
              <w:right w:val="none"/>
            </w:tcBorders>
            <w:tcMar>
              <w:top w:type="dxa" w:w="80"/>
              <w:left w:type="dxa" w:w="120"/>
              <w:bottom w:type="dxa" w:w="80"/>
              <w:right w:type="dxa" w:w="120"/>
            </w:tcMar>
            <w:vAlign w:val="center"/>
          </w:tcPr>
          <w:p>
            <w:pPr>
              <w:pStyle w:val="MdTableCell"/>
            </w:pPr>
            <w:r>
              <w:t xml:space="preserve">Standard testing/deployment workflow, deferred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Frontend</w:t>
            </w:r>
          </w:p>
        </w:tc>
        <w:tc>
          <w:tcPr>
            <w:tcMar>
              <w:top w:type="dxa" w:w="80"/>
              <w:left w:type="dxa" w:w="120"/>
              <w:bottom w:type="dxa" w:w="80"/>
              <w:right w:type="dxa" w:w="120"/>
            </w:tcMar>
            <w:vAlign w:val="center"/>
          </w:tcPr>
          <w:p>
            <w:pPr>
              <w:pStyle w:val="MdTableCell"/>
            </w:pPr>
            <w:r>
              <w:t xml:space="preserve">Next.js and Tailwind</w:t>
            </w:r>
          </w:p>
        </w:tc>
        <w:tc>
          <w:tcPr>
            <w:tcBorders>
              <w:right w:val="none"/>
            </w:tcBorders>
            <w:tcMar>
              <w:top w:type="dxa" w:w="80"/>
              <w:left w:type="dxa" w:w="120"/>
              <w:bottom w:type="dxa" w:w="80"/>
              <w:right w:type="dxa" w:w="120"/>
            </w:tcMar>
            <w:vAlign w:val="center"/>
          </w:tcPr>
          <w:p>
            <w:pPr>
              <w:pStyle w:val="MdTableCell"/>
            </w:pPr>
            <w:r>
              <w:t xml:space="preserve">Useful dashboard after the core flow 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Tests</w:t>
            </w:r>
          </w:p>
        </w:tc>
        <w:tc>
          <w:tcPr>
            <w:tcMar>
              <w:top w:type="dxa" w:w="80"/>
              <w:left w:type="dxa" w:w="120"/>
              <w:bottom w:type="dxa" w:w="80"/>
              <w:right w:type="dxa" w:w="120"/>
            </w:tcMar>
            <w:vAlign w:val="center"/>
          </w:tcPr>
          <w:p>
            <w:pPr>
              <w:pStyle w:val="MdTableCell"/>
            </w:pPr>
            <w:r>
              <w:t xml:space="preserve">Vitest for TypeScript; pytest for Python</w:t>
            </w:r>
          </w:p>
        </w:tc>
        <w:tc>
          <w:tcPr>
            <w:tcBorders>
              <w:right w:val="none"/>
            </w:tcBorders>
            <w:tcMar>
              <w:top w:type="dxa" w:w="80"/>
              <w:left w:type="dxa" w:w="120"/>
              <w:bottom w:type="dxa" w:w="80"/>
              <w:right w:type="dxa" w:w="120"/>
            </w:tcMar>
            <w:vAlign w:val="center"/>
          </w:tcPr>
          <w:p>
            <w:pPr>
              <w:pStyle w:val="MdTableCell"/>
            </w:pPr>
            <w:r>
              <w:t xml:space="preserve">Fast unit and integration testing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Formatting</w:t>
            </w:r>
          </w:p>
        </w:tc>
        <w:tc>
          <w:tcPr>
            <w:tcMar>
              <w:top w:type="dxa" w:w="80"/>
              <w:left w:type="dxa" w:w="120"/>
              <w:bottom w:type="dxa" w:w="80"/>
              <w:right w:type="dxa" w:w="120"/>
            </w:tcMar>
            <w:vAlign w:val="center"/>
          </w:tcPr>
          <w:p>
            <w:pPr>
              <w:pStyle w:val="MdTableCell"/>
            </w:pPr>
            <w:r>
              <w:t xml:space="preserve">Prettier and Ruff/Black</w:t>
            </w:r>
          </w:p>
        </w:tc>
        <w:tc>
          <w:tcPr>
            <w:tcBorders>
              <w:right w:val="none"/>
            </w:tcBorders>
            <w:tcMar>
              <w:top w:type="dxa" w:w="80"/>
              <w:left w:type="dxa" w:w="120"/>
              <w:bottom w:type="dxa" w:w="80"/>
              <w:right w:type="dxa" w:w="120"/>
            </w:tcMar>
            <w:vAlign w:val="center"/>
          </w:tcPr>
          <w:p>
            <w:pPr>
              <w:pStyle w:val="MdTableCell"/>
            </w:pPr>
            <w:r>
              <w:t xml:space="preserve">Consistent code quality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Local orchestration</w:t>
            </w:r>
          </w:p>
        </w:tc>
        <w:tc>
          <w:tcPr>
            <w:tcBorders>
              <w:bottom w:val="single" w:color="E1E4E8" w:sz="4"/>
            </w:tcBorders>
            <w:tcMar>
              <w:top w:type="dxa" w:w="80"/>
              <w:left w:type="dxa" w:w="120"/>
              <w:bottom w:type="dxa" w:w="80"/>
              <w:right w:type="dxa" w:w="120"/>
            </w:tcMar>
            <w:vAlign w:val="center"/>
          </w:tcPr>
          <w:p>
            <w:pPr>
              <w:pStyle w:val="MdTableCell"/>
            </w:pPr>
            <w:r>
              <w:t xml:space="preserve">Docker Compose only when services need coordinated startup</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Avoid unnecessary infrastructure in Phase 1</w:t>
            </w:r>
          </w:p>
        </w:tc>
      </w:tr>
    </w:tbl>
    <w:p>
      <w:pPr>
        <w:pStyle w:val="MdParagraph"/>
      </w:pPr>
      <w:r>
        <w:t xml:space="preserve">The exact package APIs and versions must be inspected during implementation. The current published status of </w:t>
      </w:r>
      <w:r>
        <w:rPr>
          <w:rStyle w:val="MdCode"/>
          <w:u w:val="single"/>
        </w:rPr>
        <w:t xml:space="preserve">@x402/hedera</w:t>
      </w:r>
      <w:r>
        <w:t xml:space="preserve"> must be checked with </w:t>
      </w:r>
      <w:r>
        <w:rPr>
          <w:rStyle w:val="MdCode"/>
          <w:u w:val="single"/>
        </w:rPr>
        <w:t xml:space="preserve">npm view @x402/hedera version</w:t>
      </w:r>
      <w:r>
        <w:t xml:space="preserve"> during setup rather than hardcoded from this document.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Final Monorepo Structure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strata402/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bunfig.toml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tsconfig.json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.env.example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.gitignore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README.md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web/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consuming-agent/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index.ts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discover.ts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x402-client.ts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types.ts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package.json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README.md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api-gateway/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 server.ts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 routes/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 x402/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 middleware/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 services/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 audit/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package.json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README.md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ai-engine/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main.py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models/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services/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requirements.txt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Dockerfile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README.md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contracts/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AutoSwapLimit.sol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HederaYieldVault.sol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AgentRegistryHCS14.sol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interfaces/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scripts/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test/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hardhat.config.ts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package.json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README.md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x402-hedera-sdk/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payment.ts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headers.ts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types.ts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 hcs-audit.ts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package.json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README.md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scripts/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unit/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integration/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x402/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e2e/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w:t>
      </w:r>
    </w:p>
    <w:p>
      <w:pPr>
        <w:pStyle w:val="MdSpace"/>
        <w:spacing w:before="0" w:after="60"/>
      </w:pPr>
    </w:p>
    <w:p>
      <w:pPr>
        <w:pStyle w:val="MdParagraph"/>
      </w:pPr>
      <w:r>
        <w:t xml:space="preserve">This is the target architecture. Phase 1 creates only the workspace foundation and does not implement these services.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API Contract</w:t>
      </w:r>
    </w:p>
    <w:p>
      <w:pPr>
        <w:pStyle w:val="Heading3"/>
        <w:pStyle w:val="MdHeading3"/>
      </w:pPr>
      <w:r>
        <w:rPr>
          <w:rStyle w:val="MdCode"/>
          <w:u w:val="single"/>
        </w:rPr>
        <w:t xml:space="preserve">GET /health</w:t>
      </w:r>
    </w:p>
    <w:p>
      <w:pPr>
        <w:pStyle w:val="MdParagraph"/>
      </w:pPr>
      <w:r>
        <w:t xml:space="preserve">This endpoint is free. It returns service availability and version information.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"strata402-api-gateway"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"0.1.0"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rPr>
          <w:rStyle w:val="MdCode"/>
          <w:u w:val="single"/>
        </w:rPr>
        <w:t xml:space="preserve">GET /v1/services</w:t>
      </w:r>
    </w:p>
    <w:p>
      <w:pPr>
        <w:pStyle w:val="MdParagraph"/>
      </w:pPr>
      <w:r>
        <w:t xml:space="preserve">This endpoint is free and supports service discovery.</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"services"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"Strata402 Yield Risk Analysis"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"agent"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"strata402-agent"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"endpoint"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"/v1/strategy/yield-risk"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"network"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"hedera:testnet"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"asset"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"displayPrice"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"0.01 HBAR"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"protocol"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"x402"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"scheme"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"facilitator"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"Blocky402"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rPr>
          <w:rStyle w:val="MdCode"/>
          <w:u w:val="single"/>
        </w:rPr>
        <w:t xml:space="preserve">POST /v1/strategy/yield-risk</w:t>
      </w:r>
    </w:p>
    <w:p>
      <w:pPr>
        <w:pStyle w:val="MdParagraph"/>
      </w:pPr>
      <w:r>
        <w:t xml:space="preserve">This endpoint is protected by x402. The request body must validate </w:t>
      </w:r>
      <w:r>
        <w:rPr>
          <w:rStyle w:val="MdCode"/>
          <w:u w:val="single"/>
        </w:rPr>
        <w:t xml:space="preserve">accountId</w:t>
      </w:r>
      <w:r>
        <w:t xml:space="preserve">, </w:t>
      </w:r>
      <w:r>
        <w:rPr>
          <w:rStyle w:val="MdCode"/>
          <w:u w:val="single"/>
        </w:rPr>
        <w:t xml:space="preserve">riskTolerance</w:t>
      </w:r>
      <w:r>
        <w:t xml:space="preserve">, and </w:t>
      </w:r>
      <w:r>
        <w:rPr>
          <w:rStyle w:val="MdCode"/>
          <w:u w:val="single"/>
        </w:rPr>
        <w:t xml:space="preserve">amountHbar</w:t>
      </w:r>
      <w:r>
        <w:t xml:space="preserve">. The service must reject malformed account identifiers, unsupported risk values, non-positive amounts, and stale or unavailable required data.</w:t>
      </w:r>
    </w:p>
    <w:p>
      <w:pPr>
        <w:pStyle w:val="MdSpace"/>
        <w:spacing w:before="0" w:after="60"/>
      </w:pPr>
    </w:p>
    <w:p>
      <w:pPr>
        <w:pStyle w:val="MdParagraph"/>
      </w:pPr>
      <w:r>
        <w:t xml:space="preserve">The first unpaid request returns HTTP 402 and canonical x402 v2 payment requirements. The paid retry returns HTTP 200 with the strategy result and settlement information. Malformed payment payloads return the status prescribed by the selected x402 adapter. Business validation errors return HTTP 400. Unexpected service failures return HTTP 500 without exposing secrets or internal stack traces.</w:t>
      </w:r>
    </w:p>
    <w:p>
      <w:pPr>
        <w:pStyle w:val="MdSpace"/>
        <w:spacing w:before="0" w:after="60"/>
      </w:pPr>
    </w:p>
    <w:p>
      <w:pPr>
        <w:pStyle w:val="Heading3"/>
        <w:pStyle w:val="MdHeading3"/>
      </w:pPr>
      <w:r>
        <w:rPr>
          <w:rStyle w:val="MdCode"/>
          <w:u w:val="single"/>
        </w:rPr>
        <w:t xml:space="preserve">GET /v1/audit/:id</w:t>
      </w:r>
    </w:p>
    <w:p>
      <w:pPr>
        <w:pStyle w:val="MdParagraph"/>
      </w:pPr>
      <w:r>
        <w:t xml:space="preserve">This endpoint is optional after the MVP. If HCS audit logging is implemented, it may return a normalized audit record and HCS topic sequence number. It must not reveal private payment payloads or private keys.</w:t>
      </w:r>
    </w:p>
    <w:p>
      <w:pPr>
        <w:pStyle w:val="MdSpace"/>
        <w:spacing w:before="0" w:after="60"/>
      </w:pPr>
    </w:p>
    <w:p>
      <w:pPr>
        <w:pStyle w:val="Heading3"/>
        <w:pStyle w:val="MdHeading3"/>
      </w:pPr>
      <w:r>
        <w:t xml:space="preserve">Idempotency</w:t>
      </w:r>
    </w:p>
    <w:p>
      <w:pPr>
        <w:pStyle w:val="MdParagraph"/>
      </w:pPr>
      <w:r>
        <w:t xml:space="preserve">A payment payload must not be used to obtain multiple paid responses. The gateway should use facilitator settlement results and a request/payment identifier to prevent replay. The exact idempotency mechanism must follow the selected x402 and Blocky402 SDK behavior rather than inventing a conflicting payment state machine.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Official x402 v2 Payment Flow</w:t>
      </w:r>
    </w:p>
    <w:p>
      <w:pPr>
        <w:pStyle w:val="MdParagraph"/>
      </w:pPr>
      <w:r>
        <w:t xml:space="preserve">The canonical HTTP transport for x402 v2 uses these headers: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Header</w:t>
            </w:r>
          </w:p>
        </w:tc>
        <w:tc>
          <w:tcPr>
            <w:tcMar>
              <w:top w:type="dxa" w:w="100"/>
              <w:left w:type="dxa" w:w="120"/>
              <w:bottom w:type="dxa" w:w="100"/>
              <w:right w:type="dxa" w:w="120"/>
            </w:tcMar>
            <w:vAlign w:val="center"/>
          </w:tcPr>
          <w:p>
            <w:pPr>
              <w:pStyle w:val="MdTableHeader"/>
            </w:pPr>
            <w:r>
              <w:t xml:space="preserve">Direction</w:t>
            </w:r>
          </w:p>
        </w:tc>
        <w:tc>
          <w:tcPr>
            <w:tcBorders>
              <w:right w:val="none"/>
            </w:tcBorders>
            <w:tcMar>
              <w:top w:type="dxa" w:w="100"/>
              <w:left w:type="dxa" w:w="120"/>
              <w:bottom w:type="dxa" w:w="100"/>
              <w:right w:type="dxa" w:w="120"/>
            </w:tcMar>
            <w:vAlign w:val="center"/>
          </w:tcPr>
          <w:p>
            <w:pPr>
              <w:pStyle w:val="MdTableHeader"/>
            </w:pPr>
            <w:r>
              <w:t xml:space="preserve">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PAYMENT-REQUIRED</w:t>
            </w:r>
          </w:p>
        </w:tc>
        <w:tc>
          <w:tcPr>
            <w:tcMar>
              <w:top w:type="dxa" w:w="80"/>
              <w:left w:type="dxa" w:w="120"/>
              <w:bottom w:type="dxa" w:w="80"/>
              <w:right w:type="dxa" w:w="120"/>
            </w:tcMar>
            <w:vAlign w:val="center"/>
          </w:tcPr>
          <w:p>
            <w:pPr>
              <w:pStyle w:val="MdTableCell"/>
            </w:pPr>
            <w:r>
              <w:t xml:space="preserve">Server to client on HTTP 402</w:t>
            </w:r>
          </w:p>
        </w:tc>
        <w:tc>
          <w:tcPr>
            <w:tcBorders>
              <w:right w:val="none"/>
            </w:tcBorders>
            <w:tcMar>
              <w:top w:type="dxa" w:w="80"/>
              <w:left w:type="dxa" w:w="120"/>
              <w:bottom w:type="dxa" w:w="80"/>
              <w:right w:type="dxa" w:w="120"/>
            </w:tcMar>
            <w:vAlign w:val="center"/>
          </w:tcPr>
          <w:p>
            <w:pPr>
              <w:pStyle w:val="MdTableCell"/>
            </w:pPr>
            <w:r>
              <w:t xml:space="preserve">Base64-encoded </w:t>
            </w:r>
            <w:r>
              <w:rPr>
                <w:rStyle w:val="MdCode"/>
                <w:u w:val="single"/>
              </w:rPr>
              <w:t xml:space="preserve">PaymentRequired</w:t>
            </w:r>
            <w:r>
              <w:t xml:space="preserve"> object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PAYMENT-SIGNATURE</w:t>
            </w:r>
          </w:p>
        </w:tc>
        <w:tc>
          <w:tcPr>
            <w:tcMar>
              <w:top w:type="dxa" w:w="80"/>
              <w:left w:type="dxa" w:w="120"/>
              <w:bottom w:type="dxa" w:w="80"/>
              <w:right w:type="dxa" w:w="120"/>
            </w:tcMar>
            <w:vAlign w:val="center"/>
          </w:tcPr>
          <w:p>
            <w:pPr>
              <w:pStyle w:val="MdTableCell"/>
            </w:pPr>
            <w:r>
              <w:t xml:space="preserve">Client to server</w:t>
            </w:r>
          </w:p>
        </w:tc>
        <w:tc>
          <w:tcPr>
            <w:tcBorders>
              <w:right w:val="none"/>
            </w:tcBorders>
            <w:tcMar>
              <w:top w:type="dxa" w:w="80"/>
              <w:left w:type="dxa" w:w="120"/>
              <w:bottom w:type="dxa" w:w="80"/>
              <w:right w:type="dxa" w:w="120"/>
            </w:tcMar>
            <w:vAlign w:val="center"/>
          </w:tcPr>
          <w:p>
            <w:pPr>
              <w:pStyle w:val="MdTableCell"/>
            </w:pPr>
            <w:r>
              <w:t xml:space="preserve">Base64-encoded </w:t>
            </w:r>
            <w:r>
              <w:rPr>
                <w:rStyle w:val="MdCode"/>
                <w:u w:val="single"/>
              </w:rPr>
              <w:t xml:space="preserve">PaymentPayload</w:t>
            </w:r>
            <w:r>
              <w:t xml:space="preserve"> object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PAYMENT-RESPONSE</w:t>
            </w:r>
          </w:p>
        </w:tc>
        <w:tc>
          <w:tcPr>
            <w:tcBorders>
              <w:bottom w:val="single" w:color="E1E4E8" w:sz="4"/>
            </w:tcBorders>
            <w:tcMar>
              <w:top w:type="dxa" w:w="80"/>
              <w:left w:type="dxa" w:w="120"/>
              <w:bottom w:type="dxa" w:w="80"/>
              <w:right w:type="dxa" w:w="120"/>
            </w:tcMar>
            <w:vAlign w:val="center"/>
          </w:tcPr>
          <w:p>
            <w:pPr>
              <w:pStyle w:val="MdTableCell"/>
            </w:pPr>
            <w:r>
              <w:t xml:space="preserve">Server to client after settlement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Base64-encoded settlement response</w:t>
            </w:r>
          </w:p>
        </w:tc>
      </w:tr>
    </w:tbl>
    <w:p>
      <w:pPr>
        <w:pStyle w:val="MdParagraph"/>
      </w:pPr>
      <w:r>
        <w:t xml:space="preserve">The application must not use custom headers such as </w:t>
      </w:r>
      <w:r>
        <w:rPr>
          <w:rStyle w:val="MdCode"/>
          <w:u w:val="single"/>
        </w:rPr>
        <w:t xml:space="preserve">X-402-Payment-Proof</w:t>
      </w:r>
      <w:r>
        <w:t xml:space="preserve">, </w:t>
      </w:r>
      <w:r>
        <w:rPr>
          <w:rStyle w:val="MdCode"/>
          <w:u w:val="single"/>
        </w:rPr>
        <w:t xml:space="preserve">X-Payer-Account</w:t>
      </w:r>
      <w:r>
        <w:t xml:space="preserve">, or legacy </w:t>
      </w:r>
      <w:r>
        <w:rPr>
          <w:rStyle w:val="MdCode"/>
          <w:u w:val="single"/>
        </w:rPr>
        <w:t xml:space="preserve">X-PAYMENT</w:t>
      </w:r>
      <w:r>
        <w:t xml:space="preserve"> as its canonical contract. Header serialization and parsing should be delegated to the current official SDK where possible. An integration test must assert the actual behavior of the installed versions.</w:t>
      </w:r>
    </w:p>
    <w:p>
      <w:pPr>
        <w:pStyle w:val="MdSpace"/>
        <w:spacing w:before="0" w:after="60"/>
      </w:pPr>
    </w:p>
    <w:p>
      <w:pPr>
        <w:pStyle w:val="MdParagraph"/>
      </w:pPr>
      <w:r>
        <w:t xml:space="preserve">For Hedera </w:t>
      </w:r>
      <w:r>
        <w:rPr>
          <w:rStyle w:val="MdCode"/>
          <w:u w:val="single"/>
        </w:rPr>
        <w:t xml:space="preserve">exact</w:t>
      </w:r>
      <w:r>
        <w:t xml:space="preserve"> payments, the payment requirement includes the network, asset, amount, recipient, timeout, and facilitator fee payer. Native HBAR uses asset </w:t>
      </w:r>
      <w:r>
        <w:rPr>
          <w:rStyle w:val="MdCode"/>
          <w:u w:val="single"/>
        </w:rPr>
        <w:t xml:space="preserve">0.0.0</w:t>
      </w:r>
      <w:r>
        <w:t xml:space="preserve"> and an amount in tinybars. The client builds a direct </w:t>
      </w:r>
      <w:r>
        <w:rPr>
          <w:rStyle w:val="MdCode"/>
          <w:u w:val="single"/>
        </w:rPr>
        <w:t xml:space="preserve">TransferTransaction</w:t>
      </w:r>
      <w:r>
        <w:t xml:space="preserve">, sets the facilitator account as the transaction fee payer through the requirements, signs the transaction, serializes the partially signed transaction, and includes it in the x402 payment payload.</w:t>
      </w:r>
    </w:p>
    <w:p>
      <w:pPr>
        <w:pStyle w:val="MdSpace"/>
        <w:spacing w:before="0" w:after="60"/>
      </w:pPr>
    </w:p>
    <w:p>
      <w:pPr>
        <w:pStyle w:val="MdParagraph"/>
      </w:pPr>
      <w:r>
        <w:t xml:space="preserve">The resource server sends the payload and requirements to Blocky402 </w:t>
      </w:r>
      <w:r>
        <w:rPr>
          <w:rStyle w:val="MdCode"/>
          <w:u w:val="single"/>
        </w:rPr>
        <w:t xml:space="preserve">/verify</w:t>
      </w:r>
      <w:r>
        <w:t xml:space="preserve">. If valid, it calls </w:t>
      </w:r>
      <w:r>
        <w:rPr>
          <w:rStyle w:val="MdCode"/>
          <w:u w:val="single"/>
        </w:rPr>
        <w:t xml:space="preserve">/settle</w:t>
      </w:r>
      <w:r>
        <w:t xml:space="preserve">. Blocky402 adds the fee-payer signature and submits the transaction to Hedera. The resource server then returns the protected result and settlement response.</w:t>
      </w:r>
    </w:p>
    <w:p>
      <w:pPr>
        <w:pStyle w:val="MdSpace"/>
        <w:spacing w:before="0" w:after="60"/>
      </w:pPr>
    </w:p>
    <w:p>
      <w:pPr>
        <w:pStyle w:val="MdParagraph"/>
      </w:pPr>
      <w:r>
        <w:t xml:space="preserve">Legacy documentation may show </w:t>
      </w:r>
      <w:r>
        <w:rPr>
          <w:rStyle w:val="MdCode"/>
          <w:u w:val="single"/>
        </w:rPr>
        <w:t xml:space="preserve">X-PAYMENT</w:t>
      </w:r>
      <w:r>
        <w:t xml:space="preserve">. Any compatibility behavior required by a specific facilitator or SDK version must be isolated inside the x402 integration layer and verified against the actual installed packages. It must not be copied into the business API contract without evidence.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Blocky402 Integration Plan</w:t>
      </w:r>
    </w:p>
    <w:p>
      <w:pPr>
        <w:pStyle w:val="MdParagraph"/>
      </w:pPr>
      <w:r>
        <w:t xml:space="preserve">Before implementation, the team must verify the selected Blocky402 testnet endpoint and its supported networks. The verification checklist is:</w:t>
      </w:r>
    </w:p>
    <w:p>
      <w:pPr>
        <w:pStyle w:val="MdSpace"/>
        <w:spacing w:before="0" w:after="60"/>
      </w:pPr>
    </w:p>
    <w:p>
      <w:pPr>
        <w:pStyle w:val="MdListItem"/>
        <w:numPr>
          <w:ilvl w:val="0"/>
          <w:numId w:val="2"/>
        </w:numPr>
      </w:pPr>
      <w:r>
        <w:t xml:space="preserve">Confirm support for </w:t>
      </w:r>
      <w:r>
        <w:rPr>
          <w:rStyle w:val="MdCode"/>
          <w:u w:val="single"/>
        </w:rPr>
        <w:t xml:space="preserve">hedera:testnet</w:t>
      </w:r>
      <w:r>
        <w:t xml:space="preserve">.</w:t>
      </w:r>
    </w:p>
    <w:p>
      <w:pPr>
        <w:pStyle w:val="MdListItem"/>
        <w:numPr>
          <w:ilvl w:val="0"/>
          <w:numId w:val="2"/>
        </w:numPr>
      </w:pPr>
      <w:r>
        <w:t xml:space="preserve">Confirm support for the </w:t>
      </w:r>
      <w:r>
        <w:rPr>
          <w:rStyle w:val="MdCode"/>
          <w:u w:val="single"/>
        </w:rPr>
        <w:t xml:space="preserve">exact</w:t>
      </w:r>
      <w:r>
        <w:t xml:space="preserve"> scheme.</w:t>
      </w:r>
    </w:p>
    <w:p>
      <w:pPr>
        <w:pStyle w:val="MdListItem"/>
        <w:numPr>
          <w:ilvl w:val="0"/>
          <w:numId w:val="2"/>
        </w:numPr>
      </w:pPr>
      <w:r>
        <w:t xml:space="preserve">Confirm HBAR support with asset </w:t>
      </w:r>
      <w:r>
        <w:rPr>
          <w:rStyle w:val="MdCode"/>
          <w:u w:val="single"/>
        </w:rPr>
        <w:t xml:space="preserve">0.0.0</w:t>
      </w:r>
      <w:r>
        <w:t xml:space="preserve">.</w:t>
      </w:r>
    </w:p>
    <w:p>
      <w:pPr>
        <w:pStyle w:val="MdListItem"/>
        <w:numPr>
          <w:ilvl w:val="0"/>
          <w:numId w:val="2"/>
        </w:numPr>
      </w:pPr>
      <w:r>
        <w:t xml:space="preserve">Confirm the </w:t>
      </w:r>
      <w:r>
        <w:rPr>
          <w:rStyle w:val="MdCode"/>
          <w:u w:val="single"/>
        </w:rPr>
        <w:t xml:space="preserve">/verify</w:t>
      </w:r>
      <w:r>
        <w:t xml:space="preserve"> request shape.</w:t>
      </w:r>
    </w:p>
    <w:p>
      <w:pPr>
        <w:pStyle w:val="MdListItem"/>
        <w:numPr>
          <w:ilvl w:val="0"/>
          <w:numId w:val="2"/>
        </w:numPr>
      </w:pPr>
      <w:r>
        <w:t xml:space="preserve">Confirm the </w:t>
      </w:r>
      <w:r>
        <w:rPr>
          <w:rStyle w:val="MdCode"/>
          <w:u w:val="single"/>
        </w:rPr>
        <w:t xml:space="preserve">/settle</w:t>
      </w:r>
      <w:r>
        <w:t xml:space="preserve"> request shape.</w:t>
      </w:r>
    </w:p>
    <w:p>
      <w:pPr>
        <w:pStyle w:val="MdListItem"/>
        <w:numPr>
          <w:ilvl w:val="0"/>
          <w:numId w:val="2"/>
        </w:numPr>
      </w:pPr>
      <w:r>
        <w:t xml:space="preserve">Confirm the facilitator fee-payer account behavior.</w:t>
      </w:r>
    </w:p>
    <w:p>
      <w:pPr>
        <w:pStyle w:val="MdListItem"/>
        <w:numPr>
          <w:ilvl w:val="0"/>
          <w:numId w:val="2"/>
        </w:numPr>
      </w:pPr>
      <w:r>
        <w:t xml:space="preserve">Confirm settlement response field names, including the Hedera transaction identifier.</w:t>
      </w:r>
    </w:p>
    <w:p>
      <w:pPr>
        <w:pStyle w:val="MdListItem"/>
        <w:numPr>
          <w:ilvl w:val="0"/>
          <w:numId w:val="2"/>
        </w:numPr>
      </w:pPr>
      <w:r>
        <w:t xml:space="preserve">Run a small test using funded testnet accounts.</w:t>
      </w:r>
    </w:p>
    <w:p>
      <w:pPr>
        <w:pStyle w:val="MdListItem"/>
        <w:numPr>
          <w:ilvl w:val="0"/>
          <w:numId w:val="2"/>
        </w:numPr>
      </w:pPr>
      <w:r>
        <w:t xml:space="preserve">Record the exact endpoint and package versions in the README.</w:t>
      </w:r>
    </w:p>
    <w:p>
      <w:pPr>
        <w:pStyle w:val="MdSpace"/>
        <w:spacing w:before="0" w:after="60"/>
      </w:pPr>
    </w:p>
    <w:p>
      <w:pPr>
        <w:pStyle w:val="MdParagraph"/>
      </w:pPr>
      <w:r>
        <w:t xml:space="preserve">The gateway must not call Blocky402 directly from the frontend. Facilitator communication belongs in the server-side x402 integration layer. The consuming agent signs the client-side payload locally and never sends its private key to the service.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AI and Risk Engine Design</w:t>
      </w:r>
    </w:p>
    <w:p>
      <w:pPr>
        <w:pStyle w:val="MdParagraph"/>
      </w:pPr>
      <w:r>
        <w:t xml:space="preserve">The analysis engine separates deterministic calculations from generated explanations.</w:t>
      </w:r>
    </w:p>
    <w:p>
      <w:pPr>
        <w:pStyle w:val="MdSpace"/>
        <w:spacing w:before="0" w:after="60"/>
      </w:pPr>
    </w:p>
    <w:p>
      <w:pPr>
        <w:pStyle w:val="Heading3"/>
        <w:pStyle w:val="MdHeading3"/>
      </w:pPr>
      <w:r>
        <w:t xml:space="preserve">Deterministic layer</w:t>
      </w:r>
    </w:p>
    <w:p>
      <w:pPr>
        <w:pStyle w:val="MdParagraph"/>
      </w:pPr>
      <w:r>
        <w:t xml:space="preserve">The deterministic layer validates the account identifier, obtains available account data, calculates portfolio proportions, applies risk constraints, calculates health-factor-related values when supported by verified data, checks data freshness, and produces the numeric risk score. The same input and data snapshot should produce the same numeric result.</w:t>
      </w:r>
    </w:p>
    <w:p>
      <w:pPr>
        <w:pStyle w:val="MdSpace"/>
        <w:spacing w:before="0" w:after="60"/>
      </w:pPr>
    </w:p>
    <w:p>
      <w:pPr>
        <w:pStyle w:val="Heading3"/>
        <w:pStyle w:val="MdHeading3"/>
      </w:pPr>
      <w:r>
        <w:t xml:space="preserve">AI layer</w:t>
      </w:r>
    </w:p>
    <w:p>
      <w:pPr>
        <w:pStyle w:val="MdParagraph"/>
      </w:pPr>
      <w:r>
        <w:t xml:space="preserve">The AI layer converts validated calculations into a concise explanation and strategy summary. It must not invent balances, protocol rates, transactions, or execution results. The prompt must identify external market data as untrusted input and instruct the model not to follow instructions embedded in retrieved data.</w:t>
      </w:r>
    </w:p>
    <w:p>
      <w:pPr>
        <w:pStyle w:val="MdSpace"/>
        <w:spacing w:before="0" w:after="60"/>
      </w:pPr>
    </w:p>
    <w:p>
      <w:pPr>
        <w:pStyle w:val="Heading3"/>
        <w:pStyle w:val="MdHeading3"/>
      </w:pPr>
      <w:r>
        <w:t xml:space="preserve">Data sources</w:t>
      </w:r>
    </w:p>
    <w:p>
      <w:pPr>
        <w:pStyle w:val="MdParagraph"/>
      </w:pPr>
      <w:r>
        <w:t xml:space="preserve">The initial engine may use Hedera Mirror Node data after the gateway flow is proven. SaucerSwap and Bonzo adapters must be implemented only after their current endpoints, contracts, or official data sources are verified. If a provider is unavailable, the response must identify the fallback explicitly and lower confidence or return a controlled unavailable-data result.</w:t>
      </w:r>
    </w:p>
    <w:p>
      <w:pPr>
        <w:pStyle w:val="MdSpace"/>
        <w:spacing w:before="0" w:after="60"/>
      </w:pPr>
    </w:p>
    <w:p>
      <w:pPr>
        <w:pStyle w:val="Heading3"/>
        <w:pStyle w:val="MdHeading3"/>
      </w:pPr>
      <w:r>
        <w:t xml:space="preserve">Output controls</w:t>
      </w:r>
    </w:p>
    <w:p>
      <w:pPr>
        <w:pStyle w:val="MdParagraph"/>
      </w:pPr>
      <w:r>
        <w:t xml:space="preserve">Every result must include data timestamp, source labels, confidence, a risk score explanation, and the statement that the output is not financial advice. Unsupported actions, guaranteed returns, and automatic fund movement are prohibited.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16. Hedera Integration Plan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Integration</w:t>
            </w:r>
          </w:p>
        </w:tc>
        <w:tc>
          <w:tcPr>
            <w:tcMar>
              <w:top w:type="dxa" w:w="100"/>
              <w:left w:type="dxa" w:w="120"/>
              <w:bottom w:type="dxa" w:w="100"/>
              <w:right w:type="dxa" w:w="120"/>
            </w:tcMar>
            <w:vAlign w:val="center"/>
          </w:tcPr>
          <w:p>
            <w:pPr>
              <w:pStyle w:val="MdTableHeader"/>
            </w:pPr>
            <w:r>
              <w:t xml:space="preserve">Purpose</w:t>
            </w:r>
          </w:p>
        </w:tc>
        <w:tc>
          <w:tcPr>
            <w:tcMar>
              <w:top w:type="dxa" w:w="100"/>
              <w:left w:type="dxa" w:w="120"/>
              <w:bottom w:type="dxa" w:w="100"/>
              <w:right w:type="dxa" w:w="120"/>
            </w:tcMar>
            <w:vAlign w:val="center"/>
          </w:tcPr>
          <w:p>
            <w:pPr>
              <w:pStyle w:val="MdTableHeader"/>
            </w:pPr>
            <w:r>
              <w:t xml:space="preserve">Priority</w:t>
            </w:r>
          </w:p>
        </w:tc>
        <w:tc>
          <w:tcPr>
            <w:tcBorders>
              <w:right w:val="none"/>
            </w:tcBorders>
            <w:tcMar>
              <w:top w:type="dxa" w:w="100"/>
              <w:left w:type="dxa" w:w="120"/>
              <w:bottom w:type="dxa" w:w="100"/>
              <w:right w:type="dxa" w:w="120"/>
            </w:tcMar>
            <w:vAlign w:val="center"/>
          </w:tcPr>
          <w:p>
            <w:pPr>
              <w:pStyle w:val="MdTableHeader"/>
            </w:pPr>
            <w:r>
              <w:t xml:space="preserve">Credentials/output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Hedera testnet</w:t>
            </w:r>
          </w:p>
        </w:tc>
        <w:tc>
          <w:tcPr>
            <w:tcMar>
              <w:top w:type="dxa" w:w="80"/>
              <w:left w:type="dxa" w:w="120"/>
              <w:bottom w:type="dxa" w:w="80"/>
              <w:right w:type="dxa" w:w="120"/>
            </w:tcMar>
            <w:vAlign w:val="center"/>
          </w:tcPr>
          <w:p>
            <w:pPr>
              <w:pStyle w:val="MdTableCell"/>
            </w:pPr>
            <w:r>
              <w:t xml:space="preserve">Payment settlement</w:t>
            </w:r>
          </w:p>
        </w:tc>
        <w:tc>
          <w:tcPr>
            <w:tcMar>
              <w:top w:type="dxa" w:w="80"/>
              <w:left w:type="dxa" w:w="120"/>
              <w:bottom w:type="dxa" w:w="80"/>
              <w:right w:type="dxa" w:w="120"/>
            </w:tcMar>
            <w:vAlign w:val="center"/>
          </w:tcPr>
          <w:p>
            <w:pPr>
              <w:pStyle w:val="MdTableCell"/>
            </w:pPr>
            <w:r>
              <w:t xml:space="preserve">Required</w:t>
            </w:r>
          </w:p>
        </w:tc>
        <w:tc>
          <w:tcPr>
            <w:tcBorders>
              <w:right w:val="none"/>
            </w:tcBorders>
            <w:tcMar>
              <w:top w:type="dxa" w:w="80"/>
              <w:left w:type="dxa" w:w="120"/>
              <w:bottom w:type="dxa" w:w="80"/>
              <w:right w:type="dxa" w:w="120"/>
            </w:tcMar>
            <w:vAlign w:val="center"/>
          </w:tcPr>
          <w:p>
            <w:pPr>
              <w:pStyle w:val="MdTableCell"/>
            </w:pPr>
            <w:r>
              <w:t xml:space="preserve">Payer and recipient accounts; transaction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@x402/hedera</w:t>
            </w:r>
          </w:p>
        </w:tc>
        <w:tc>
          <w:tcPr>
            <w:tcMar>
              <w:top w:type="dxa" w:w="80"/>
              <w:left w:type="dxa" w:w="120"/>
              <w:bottom w:type="dxa" w:w="80"/>
              <w:right w:type="dxa" w:w="120"/>
            </w:tcMar>
            <w:vAlign w:val="center"/>
          </w:tcPr>
          <w:p>
            <w:pPr>
              <w:pStyle w:val="MdTableCell"/>
            </w:pPr>
            <w:r>
              <w:t xml:space="preserve">Hedera exact scheme client/server logic</w:t>
            </w:r>
          </w:p>
        </w:tc>
        <w:tc>
          <w:tcPr>
            <w:tcMar>
              <w:top w:type="dxa" w:w="80"/>
              <w:left w:type="dxa" w:w="120"/>
              <w:bottom w:type="dxa" w:w="80"/>
              <w:right w:type="dxa" w:w="120"/>
            </w:tcMar>
            <w:vAlign w:val="center"/>
          </w:tcPr>
          <w:p>
            <w:pPr>
              <w:pStyle w:val="MdTableCell"/>
            </w:pPr>
            <w:r>
              <w:t xml:space="preserve">Required</w:t>
            </w:r>
          </w:p>
        </w:tc>
        <w:tc>
          <w:tcPr>
            <w:tcBorders>
              <w:right w:val="none"/>
            </w:tcBorders>
            <w:tcMar>
              <w:top w:type="dxa" w:w="80"/>
              <w:left w:type="dxa" w:w="120"/>
              <w:bottom w:type="dxa" w:w="80"/>
              <w:right w:type="dxa" w:w="120"/>
            </w:tcMar>
            <w:vAlign w:val="center"/>
          </w:tcPr>
          <w:p>
            <w:pPr>
              <w:pStyle w:val="MdTableCell"/>
            </w:pPr>
            <w:r>
              <w:t xml:space="preserve">Package and signer configuration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Blocky402</w:t>
            </w:r>
          </w:p>
        </w:tc>
        <w:tc>
          <w:tcPr>
            <w:tcMar>
              <w:top w:type="dxa" w:w="80"/>
              <w:left w:type="dxa" w:w="120"/>
              <w:bottom w:type="dxa" w:w="80"/>
              <w:right w:type="dxa" w:w="120"/>
            </w:tcMar>
            <w:vAlign w:val="center"/>
          </w:tcPr>
          <w:p>
            <w:pPr>
              <w:pStyle w:val="MdTableCell"/>
            </w:pPr>
            <w:r>
              <w:t xml:space="preserve">Verification and settlement</w:t>
            </w:r>
          </w:p>
        </w:tc>
        <w:tc>
          <w:tcPr>
            <w:tcMar>
              <w:top w:type="dxa" w:w="80"/>
              <w:left w:type="dxa" w:w="120"/>
              <w:bottom w:type="dxa" w:w="80"/>
              <w:right w:type="dxa" w:w="120"/>
            </w:tcMar>
            <w:vAlign w:val="center"/>
          </w:tcPr>
          <w:p>
            <w:pPr>
              <w:pStyle w:val="MdTableCell"/>
            </w:pPr>
            <w:r>
              <w:t xml:space="preserve">Required</w:t>
            </w:r>
          </w:p>
        </w:tc>
        <w:tc>
          <w:tcPr>
            <w:tcBorders>
              <w:right w:val="none"/>
            </w:tcBorders>
            <w:tcMar>
              <w:top w:type="dxa" w:w="80"/>
              <w:left w:type="dxa" w:w="120"/>
              <w:bottom w:type="dxa" w:w="80"/>
              <w:right w:type="dxa" w:w="120"/>
            </w:tcMar>
            <w:vAlign w:val="center"/>
          </w:tcPr>
          <w:p>
            <w:pPr>
              <w:pStyle w:val="MdTableCell"/>
            </w:pPr>
            <w:r>
              <w:t xml:space="preserve">Facilitator endpoint and supported-network response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Mirror Node</w:t>
            </w:r>
          </w:p>
        </w:tc>
        <w:tc>
          <w:tcPr>
            <w:tcMar>
              <w:top w:type="dxa" w:w="80"/>
              <w:left w:type="dxa" w:w="120"/>
              <w:bottom w:type="dxa" w:w="80"/>
              <w:right w:type="dxa" w:w="120"/>
            </w:tcMar>
            <w:vAlign w:val="center"/>
          </w:tcPr>
          <w:p>
            <w:pPr>
              <w:pStyle w:val="MdTableCell"/>
            </w:pPr>
            <w:r>
              <w:t xml:space="preserve">Account and market context</w:t>
            </w:r>
          </w:p>
        </w:tc>
        <w:tc>
          <w:tcPr>
            <w:tcMar>
              <w:top w:type="dxa" w:w="80"/>
              <w:left w:type="dxa" w:w="120"/>
              <w:bottom w:type="dxa" w:w="80"/>
              <w:right w:type="dxa" w:w="120"/>
            </w:tcMar>
            <w:vAlign w:val="center"/>
          </w:tcPr>
          <w:p>
            <w:pPr>
              <w:pStyle w:val="MdTableCell"/>
            </w:pPr>
            <w:r>
              <w:t xml:space="preserve">Recommended after payment</w:t>
            </w:r>
          </w:p>
        </w:tc>
        <w:tc>
          <w:tcPr>
            <w:tcBorders>
              <w:right w:val="none"/>
            </w:tcBorders>
            <w:tcMar>
              <w:top w:type="dxa" w:w="80"/>
              <w:left w:type="dxa" w:w="120"/>
              <w:bottom w:type="dxa" w:w="80"/>
              <w:right w:type="dxa" w:w="120"/>
            </w:tcMar>
            <w:vAlign w:val="center"/>
          </w:tcPr>
          <w:p>
            <w:pPr>
              <w:pStyle w:val="MdTableCell"/>
            </w:pPr>
            <w:r>
              <w:t xml:space="preserve">Public API response with freshness timestamp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HCS</w:t>
            </w:r>
          </w:p>
        </w:tc>
        <w:tc>
          <w:tcPr>
            <w:tcMar>
              <w:top w:type="dxa" w:w="80"/>
              <w:left w:type="dxa" w:w="120"/>
              <w:bottom w:type="dxa" w:w="80"/>
              <w:right w:type="dxa" w:w="120"/>
            </w:tcMar>
            <w:vAlign w:val="center"/>
          </w:tcPr>
          <w:p>
            <w:pPr>
              <w:pStyle w:val="MdTableCell"/>
            </w:pPr>
            <w:r>
              <w:t xml:space="preserve">Immutable audit record</w:t>
            </w:r>
          </w:p>
        </w:tc>
        <w:tc>
          <w:tcPr>
            <w:tcMar>
              <w:top w:type="dxa" w:w="80"/>
              <w:left w:type="dxa" w:w="120"/>
              <w:bottom w:type="dxa" w:w="80"/>
              <w:right w:type="dxa" w:w="120"/>
            </w:tcMar>
            <w:vAlign w:val="center"/>
          </w:tcPr>
          <w:p>
            <w:pPr>
              <w:pStyle w:val="MdTableCell"/>
            </w:pPr>
            <w:r>
              <w:t xml:space="preserve">Stretch</w:t>
            </w:r>
          </w:p>
        </w:tc>
        <w:tc>
          <w:tcPr>
            <w:tcBorders>
              <w:right w:val="none"/>
            </w:tcBorders>
            <w:tcMar>
              <w:top w:type="dxa" w:w="80"/>
              <w:left w:type="dxa" w:w="120"/>
              <w:bottom w:type="dxa" w:w="80"/>
              <w:right w:type="dxa" w:w="120"/>
            </w:tcMar>
            <w:vAlign w:val="center"/>
          </w:tcPr>
          <w:p>
            <w:pPr>
              <w:pStyle w:val="MdTableCell"/>
            </w:pPr>
            <w:r>
              <w:t xml:space="preserve">Operator account and topic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HCS-14</w:t>
            </w:r>
          </w:p>
        </w:tc>
        <w:tc>
          <w:tcPr>
            <w:tcMar>
              <w:top w:type="dxa" w:w="80"/>
              <w:left w:type="dxa" w:w="120"/>
              <w:bottom w:type="dxa" w:w="80"/>
              <w:right w:type="dxa" w:w="120"/>
            </w:tcMar>
            <w:vAlign w:val="center"/>
          </w:tcPr>
          <w:p>
            <w:pPr>
              <w:pStyle w:val="MdTableCell"/>
            </w:pPr>
            <w:r>
              <w:t xml:space="preserve">Service discovery or identity</w:t>
            </w:r>
          </w:p>
        </w:tc>
        <w:tc>
          <w:tcPr>
            <w:tcMar>
              <w:top w:type="dxa" w:w="80"/>
              <w:left w:type="dxa" w:w="120"/>
              <w:bottom w:type="dxa" w:w="80"/>
              <w:right w:type="dxa" w:w="120"/>
            </w:tcMar>
            <w:vAlign w:val="center"/>
          </w:tcPr>
          <w:p>
            <w:pPr>
              <w:pStyle w:val="MdTableCell"/>
            </w:pPr>
            <w:r>
              <w:t xml:space="preserve">Stretch</w:t>
            </w:r>
          </w:p>
        </w:tc>
        <w:tc>
          <w:tcPr>
            <w:tcBorders>
              <w:right w:val="none"/>
            </w:tcBorders>
            <w:tcMar>
              <w:top w:type="dxa" w:w="80"/>
              <w:left w:type="dxa" w:w="120"/>
              <w:bottom w:type="dxa" w:w="80"/>
              <w:right w:type="dxa" w:w="120"/>
            </w:tcMar>
            <w:vAlign w:val="center"/>
          </w:tcPr>
          <w:p>
            <w:pPr>
              <w:pStyle w:val="MdTableCell"/>
            </w:pPr>
            <w:r>
              <w:t xml:space="preserve">Registry format and topic/identifier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HTS token</w:t>
            </w:r>
          </w:p>
        </w:tc>
        <w:tc>
          <w:tcPr>
            <w:tcBorders>
              <w:bottom w:val="single" w:color="E1E4E8" w:sz="4"/>
            </w:tcBorders>
            <w:tcMar>
              <w:top w:type="dxa" w:w="80"/>
              <w:left w:type="dxa" w:w="120"/>
              <w:bottom w:type="dxa" w:w="80"/>
              <w:right w:type="dxa" w:w="120"/>
            </w:tcMar>
            <w:vAlign w:val="center"/>
          </w:tcPr>
          <w:p>
            <w:pPr>
              <w:pStyle w:val="MdTableCell"/>
            </w:pPr>
            <w:r>
              <w:t xml:space="preserve">Alternative payment asset</w:t>
            </w:r>
          </w:p>
        </w:tc>
        <w:tc>
          <w:tcPr>
            <w:tcBorders>
              <w:bottom w:val="single" w:color="E1E4E8" w:sz="4"/>
            </w:tcBorders>
            <w:tcMar>
              <w:top w:type="dxa" w:w="80"/>
              <w:left w:type="dxa" w:w="120"/>
              <w:bottom w:type="dxa" w:w="80"/>
              <w:right w:type="dxa" w:w="120"/>
            </w:tcMar>
            <w:vAlign w:val="center"/>
          </w:tcPr>
          <w:p>
            <w:pPr>
              <w:pStyle w:val="MdTableCell"/>
            </w:pPr>
            <w:r>
              <w:t xml:space="preserve">Stretch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Token association and smallest-unit handling</w:t>
            </w:r>
          </w:p>
        </w:tc>
      </w:tr>
    </w:tbl>
    <w:p>
      <w:pPr>
        <w:pStyle w:val="MdParagraph"/>
      </w:pPr>
      <w:r>
        <w:t xml:space="preserve">The service account and consuming-agent account must be funded on Hedera testnet. Private keys remain server-side or agent-side in environment variables and are never exposed to the web dashboard.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17. Smart Contract Scope</w:t>
      </w:r>
    </w:p>
    <w:p>
      <w:pPr>
        <w:pStyle w:val="MdParagraph"/>
      </w:pPr>
      <w:r>
        <w:t xml:space="preserve">The </w:t>
      </w:r>
      <w:r>
        <w:rPr>
          <w:rStyle w:val="MdCode"/>
          <w:u w:val="single"/>
        </w:rPr>
        <w:t xml:space="preserve">contracts/</w:t>
      </w:r>
      <w:r>
        <w:t xml:space="preserve"> directory is part of the target architecture but is not required for the core qualification if the real x402-gated service and consuming agent work end-to-end.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Contract</w:t>
            </w:r>
          </w:p>
        </w:tc>
        <w:tc>
          <w:tcPr>
            <w:tcMar>
              <w:top w:type="dxa" w:w="100"/>
              <w:left w:type="dxa" w:w="120"/>
              <w:bottom w:type="dxa" w:w="100"/>
              <w:right w:type="dxa" w:w="120"/>
            </w:tcMar>
            <w:vAlign w:val="center"/>
          </w:tcPr>
          <w:p>
            <w:pPr>
              <w:pStyle w:val="MdTableHeader"/>
            </w:pPr>
            <w:r>
              <w:t xml:space="preserve">Purpose</w:t>
            </w:r>
          </w:p>
        </w:tc>
        <w:tc>
          <w:tcPr>
            <w:tcMar>
              <w:top w:type="dxa" w:w="100"/>
              <w:left w:type="dxa" w:w="120"/>
              <w:bottom w:type="dxa" w:w="100"/>
              <w:right w:type="dxa" w:w="120"/>
            </w:tcMar>
            <w:vAlign w:val="center"/>
          </w:tcPr>
          <w:p>
            <w:pPr>
              <w:pStyle w:val="MdTableHeader"/>
            </w:pPr>
            <w:r>
              <w:t xml:space="preserve">MVP priority</w:t>
            </w:r>
          </w:p>
        </w:tc>
        <w:tc>
          <w:tcPr>
            <w:tcBorders>
              <w:right w:val="none"/>
            </w:tcBorders>
            <w:tcMar>
              <w:top w:type="dxa" w:w="100"/>
              <w:left w:type="dxa" w:w="120"/>
              <w:bottom w:type="dxa" w:w="100"/>
              <w:right w:type="dxa" w:w="120"/>
            </w:tcMar>
            <w:vAlign w:val="center"/>
          </w:tcPr>
          <w:p>
            <w:pPr>
              <w:pStyle w:val="MdTableHeader"/>
            </w:pPr>
            <w:r>
              <w:t xml:space="preserve">Decision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AutoSwapLimit.sol</w:t>
            </w:r>
          </w:p>
        </w:tc>
        <w:tc>
          <w:tcPr>
            <w:tcMar>
              <w:top w:type="dxa" w:w="80"/>
              <w:left w:type="dxa" w:w="120"/>
              <w:bottom w:type="dxa" w:w="80"/>
              <w:right w:type="dxa" w:w="120"/>
            </w:tcMar>
            <w:vAlign w:val="center"/>
          </w:tcPr>
          <w:p>
            <w:pPr>
              <w:pStyle w:val="MdTableCell"/>
            </w:pPr>
            <w:r>
              <w:t xml:space="preserve">Non-custodial limit-order automation</w:t>
            </w:r>
          </w:p>
        </w:tc>
        <w:tc>
          <w:tcPr>
            <w:tcMar>
              <w:top w:type="dxa" w:w="80"/>
              <w:left w:type="dxa" w:w="120"/>
              <w:bottom w:type="dxa" w:w="80"/>
              <w:right w:type="dxa" w:w="120"/>
            </w:tcMar>
            <w:vAlign w:val="center"/>
          </w:tcPr>
          <w:p>
            <w:pPr>
              <w:pStyle w:val="MdTableCell"/>
            </w:pPr>
            <w:r>
              <w:t xml:space="preserve">Optional stretch</w:t>
            </w:r>
          </w:p>
        </w:tc>
        <w:tc>
          <w:tcPr>
            <w:tcBorders>
              <w:right w:val="none"/>
            </w:tcBorders>
            <w:tcMar>
              <w:top w:type="dxa" w:w="80"/>
              <w:left w:type="dxa" w:w="120"/>
              <w:bottom w:type="dxa" w:w="80"/>
              <w:right w:type="dxa" w:w="120"/>
            </w:tcMar>
            <w:vAlign w:val="center"/>
          </w:tcPr>
          <w:p>
            <w:pPr>
              <w:pStyle w:val="MdTableCell"/>
            </w:pPr>
            <w:r>
              <w:t xml:space="preserve">Do not start before payment MVP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HederaYieldVault.sol</w:t>
            </w:r>
          </w:p>
        </w:tc>
        <w:tc>
          <w:tcPr>
            <w:tcMar>
              <w:top w:type="dxa" w:w="80"/>
              <w:left w:type="dxa" w:w="120"/>
              <w:bottom w:type="dxa" w:w="80"/>
              <w:right w:type="dxa" w:w="120"/>
            </w:tcMar>
            <w:vAlign w:val="center"/>
          </w:tcPr>
          <w:p>
            <w:pPr>
              <w:pStyle w:val="MdTableCell"/>
            </w:pPr>
            <w:r>
              <w:t xml:space="preserve">Programmatic yield allocation</w:t>
            </w:r>
          </w:p>
        </w:tc>
        <w:tc>
          <w:tcPr>
            <w:tcMar>
              <w:top w:type="dxa" w:w="80"/>
              <w:left w:type="dxa" w:w="120"/>
              <w:bottom w:type="dxa" w:w="80"/>
              <w:right w:type="dxa" w:w="120"/>
            </w:tcMar>
            <w:vAlign w:val="center"/>
          </w:tcPr>
          <w:p>
            <w:pPr>
              <w:pStyle w:val="MdTableCell"/>
            </w:pPr>
            <w:r>
              <w:t xml:space="preserve">Not recommended for MVP</w:t>
            </w:r>
          </w:p>
        </w:tc>
        <w:tc>
          <w:tcPr>
            <w:tcBorders>
              <w:right w:val="none"/>
            </w:tcBorders>
            <w:tcMar>
              <w:top w:type="dxa" w:w="80"/>
              <w:left w:type="dxa" w:w="120"/>
              <w:bottom w:type="dxa" w:w="80"/>
              <w:right w:type="dxa" w:w="120"/>
            </w:tcMar>
            <w:vAlign w:val="center"/>
          </w:tcPr>
          <w:p>
            <w:pPr>
              <w:pStyle w:val="MdTableCell"/>
            </w:pPr>
            <w:r>
              <w:t xml:space="preserve">Defer due to custody and security risk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AgentRegistryHCS14.sol</w:t>
            </w:r>
          </w:p>
        </w:tc>
        <w:tc>
          <w:tcPr>
            <w:tcBorders>
              <w:bottom w:val="single" w:color="E1E4E8" w:sz="4"/>
            </w:tcBorders>
            <w:tcMar>
              <w:top w:type="dxa" w:w="80"/>
              <w:left w:type="dxa" w:w="120"/>
              <w:bottom w:type="dxa" w:w="80"/>
              <w:right w:type="dxa" w:w="120"/>
            </w:tcMar>
            <w:vAlign w:val="center"/>
          </w:tcPr>
          <w:p>
            <w:pPr>
              <w:pStyle w:val="MdTableCell"/>
            </w:pPr>
            <w:r>
              <w:t xml:space="preserve">Agent/service identity registry</w:t>
            </w:r>
          </w:p>
        </w:tc>
        <w:tc>
          <w:tcPr>
            <w:tcBorders>
              <w:bottom w:val="single" w:color="E1E4E8" w:sz="4"/>
            </w:tcBorders>
            <w:tcMar>
              <w:top w:type="dxa" w:w="80"/>
              <w:left w:type="dxa" w:w="120"/>
              <w:bottom w:type="dxa" w:w="80"/>
              <w:right w:type="dxa" w:w="120"/>
            </w:tcMar>
            <w:vAlign w:val="center"/>
          </w:tcPr>
          <w:p>
            <w:pPr>
              <w:pStyle w:val="MdTableCell"/>
            </w:pPr>
            <w:r>
              <w:t xml:space="preserve">Optional stretch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Prefer simple service metadata first</w:t>
            </w:r>
          </w:p>
        </w:tc>
      </w:tr>
    </w:tbl>
    <w:p>
      <w:pPr>
        <w:pStyle w:val="MdParagraph"/>
      </w:pPr>
      <w:r>
        <w:t xml:space="preserve">Any contract that handles funds requires independent security review, explicit access control, token approval logic, slippage limits, pause mechanisms, reentrancy protection, and comprehensive tests. No contract may be presented as production-safe solely because it compiles.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18. Service Discovery Plan</w:t>
      </w:r>
    </w:p>
    <w:p>
      <w:pPr>
        <w:pStyle w:val="MdParagraph"/>
      </w:pPr>
      <w:r>
        <w:t xml:space="preserve">The first discovery mechanism is the free </w:t>
      </w:r>
      <w:r>
        <w:rPr>
          <w:rStyle w:val="MdCode"/>
          <w:u w:val="single"/>
        </w:rPr>
        <w:t xml:space="preserve">GET /v1/services</w:t>
      </w:r>
      <w:r>
        <w:t xml:space="preserve"> endpoint. It provides enough metadata for the consuming agent to find the paid endpoint and select the Hedera payment requirement.</w:t>
      </w:r>
    </w:p>
    <w:p>
      <w:pPr>
        <w:pStyle w:val="MdSpace"/>
        <w:spacing w:before="0" w:after="60"/>
      </w:pPr>
    </w:p>
    <w:p>
      <w:pPr>
        <w:pStyle w:val="MdParagraph"/>
      </w:pPr>
      <w:r>
        <w:t xml:space="preserve">HCS-14 or an HCS-backed directory can be added after the local directory is reliable. The discovery record should include service name, endpoint, capability tags, network, accepted asset, pricing units, x402 version, and facilitator information. Discovery must not cause the demo to depend on a second unverified external registry.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19. HCS Audit Plan</w:t>
      </w:r>
    </w:p>
    <w:p>
      <w:pPr>
        <w:pStyle w:val="MdParagraph"/>
      </w:pPr>
      <w:r>
        <w:t xml:space="preserve">HCS audit logging is a stretch feature. If implemented, the gateway publishes a minimal record after successful settlement: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"strata402"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"endpoint"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"/v1/strategy/yield-risk"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"network"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"hedera:testnet"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"payer"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"0.0.xxxxx"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"amountTinybars"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"1000000"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"paymentTransactionId"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"responseHash"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record must not include private keys, raw signed payloads, full user prompts, or sensitive portfolio details. The response hash should be computed over a canonical representation. The topic ID and sequence number may be returned as optional audit evidence.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20. Security Model</w:t>
      </w:r>
    </w:p>
    <w:p>
      <w:pPr>
        <w:pStyle w:val="MdParagraph"/>
      </w:pPr>
      <w:r>
        <w:t xml:space="preserve">Private keys are stored only in local environment variables or an approved secret manager. The frontend receives no private key and cannot directly sign server-owned payments. The consuming agent signs only with its own buyer account.</w:t>
      </w:r>
    </w:p>
    <w:p>
      <w:pPr>
        <w:pStyle w:val="MdSpace"/>
        <w:spacing w:before="0" w:after="60"/>
      </w:pPr>
    </w:p>
    <w:p>
      <w:pPr>
        <w:pStyle w:val="MdParagraph"/>
      </w:pPr>
      <w:r>
        <w:t xml:space="preserve">The gateway validates the selected network, asset, exact amount, </w:t>
      </w:r>
      <w:r>
        <w:rPr>
          <w:rStyle w:val="MdCode"/>
          <w:u w:val="single"/>
        </w:rPr>
        <w:t xml:space="preserve">payTo</w:t>
      </w:r>
      <w:r>
        <w:t xml:space="preserve"> account, fee payer, timeout, resource URL, and payment scheme. It rejects payments for a different endpoint or network. It must avoid logging full payment payloads because the payload contains a signed transaction.</w:t>
      </w:r>
    </w:p>
    <w:p>
      <w:pPr>
        <w:pStyle w:val="MdSpace"/>
        <w:spacing w:before="0" w:after="60"/>
      </w:pPr>
    </w:p>
    <w:p>
      <w:pPr>
        <w:pStyle w:val="MdParagraph"/>
      </w:pPr>
      <w:r>
        <w:t xml:space="preserve">Replay protection relies on settlement state, transaction identity, timeout, and a server-side record where required by the SDK or facilitator. The service applies rate limits to free discovery and health endpoints. Account IDs are parsed and validated before any data lookup.</w:t>
      </w:r>
    </w:p>
    <w:p>
      <w:pPr>
        <w:pStyle w:val="MdSpace"/>
        <w:spacing w:before="0" w:after="60"/>
      </w:pPr>
    </w:p>
    <w:p>
      <w:pPr>
        <w:pStyle w:val="MdParagraph"/>
      </w:pPr>
      <w:r>
        <w:t xml:space="preserve">The AI engine treats retrieved text and market metadata as untrusted input. It does not execute instructions contained in external data. Generated recommendations are advisory, bounded by deterministic calculations, and accompanied by a financial disclaimer.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21. Error Handling Strategy</w:t>
      </w:r>
    </w:p>
    <w:p>
      <w:pPr>
        <w:pStyle w:val="MdParagraph"/>
      </w:pPr>
      <w:r>
        <w:t xml:space="preserve">Errors are normalized into a stable JSON shape: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"PAYMENT_INVALID"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"The payment could not be verified."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"requestId"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service does not expose private stack traces, facilitator credentials, or raw signed transactions. It distinguishes client validation errors, payment errors, unavailable data, and internal failures. Logs include a request ID and safe operational context.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22. Testing Strategy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Test group</w:t>
            </w:r>
          </w:p>
        </w:tc>
        <w:tc>
          <w:tcPr>
            <w:tcMar>
              <w:top w:type="dxa" w:w="100"/>
              <w:left w:type="dxa" w:w="120"/>
              <w:bottom w:type="dxa" w:w="100"/>
              <w:right w:type="dxa" w:w="120"/>
            </w:tcMar>
            <w:vAlign w:val="center"/>
          </w:tcPr>
          <w:p>
            <w:pPr>
              <w:pStyle w:val="MdTableHeader"/>
            </w:pPr>
            <w:r>
              <w:t xml:space="preserve">Required tests</w:t>
            </w:r>
          </w:p>
        </w:tc>
        <w:tc>
          <w:tcPr>
            <w:tcBorders>
              <w:right w:val="none"/>
            </w:tcBorders>
            <w:tcMar>
              <w:top w:type="dxa" w:w="100"/>
              <w:left w:type="dxa" w:w="120"/>
              <w:bottom w:type="dxa" w:w="100"/>
              <w:right w:type="dxa" w:w="120"/>
            </w:tcMar>
            <w:vAlign w:val="center"/>
          </w:tcPr>
          <w:p>
            <w:pPr>
              <w:pStyle w:val="MdTableHeader"/>
            </w:pPr>
            <w:r>
              <w:t xml:space="preserve">Expected 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Workspace</w:t>
            </w:r>
          </w:p>
        </w:tc>
        <w:tc>
          <w:tcPr>
            <w:tcMar>
              <w:top w:type="dxa" w:w="80"/>
              <w:left w:type="dxa" w:w="120"/>
              <w:bottom w:type="dxa" w:w="80"/>
              <w:right w:type="dxa" w:w="120"/>
            </w:tcMar>
            <w:vAlign w:val="center"/>
          </w:tcPr>
          <w:p>
            <w:pPr>
              <w:pStyle w:val="MdTableCell"/>
            </w:pPr>
            <w:r>
              <w:t xml:space="preserve">Bun install, workspace discovery, typecheck script</w:t>
            </w:r>
          </w:p>
        </w:tc>
        <w:tc>
          <w:tcPr>
            <w:tcBorders>
              <w:right w:val="none"/>
            </w:tcBorders>
            <w:tcMar>
              <w:top w:type="dxa" w:w="80"/>
              <w:left w:type="dxa" w:w="120"/>
              <w:bottom w:type="dxa" w:w="80"/>
              <w:right w:type="dxa" w:w="120"/>
            </w:tcMar>
            <w:vAlign w:val="center"/>
          </w:tcPr>
          <w:p>
            <w:pPr>
              <w:pStyle w:val="MdTableCell"/>
            </w:pPr>
            <w:r>
              <w:t xml:space="preserve">Clean exit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Gateway</w:t>
            </w:r>
          </w:p>
        </w:tc>
        <w:tc>
          <w:tcPr>
            <w:tcMar>
              <w:top w:type="dxa" w:w="80"/>
              <w:left w:type="dxa" w:w="120"/>
              <w:bottom w:type="dxa" w:w="80"/>
              <w:right w:type="dxa" w:w="120"/>
            </w:tcMar>
            <w:vAlign w:val="center"/>
          </w:tcPr>
          <w:p>
            <w:pPr>
              <w:pStyle w:val="MdTableCell"/>
            </w:pPr>
            <w:r>
              <w:rPr>
                <w:rStyle w:val="MdCode"/>
                <w:u w:val="single"/>
              </w:rPr>
              <w:t xml:space="preserve">/health</w:t>
            </w:r>
            <w:r>
              <w:t xml:space="preserve">, </w:t>
            </w:r>
            <w:r>
              <w:rPr>
                <w:rStyle w:val="MdCode"/>
                <w:u w:val="single"/>
              </w:rPr>
              <w:t xml:space="preserve">/v1/services</w:t>
            </w:r>
            <w:r>
              <w:t xml:space="preserve">, validation</w:t>
            </w:r>
          </w:p>
        </w:tc>
        <w:tc>
          <w:tcPr>
            <w:tcBorders>
              <w:right w:val="none"/>
            </w:tcBorders>
            <w:tcMar>
              <w:top w:type="dxa" w:w="80"/>
              <w:left w:type="dxa" w:w="120"/>
              <w:bottom w:type="dxa" w:w="80"/>
              <w:right w:type="dxa" w:w="120"/>
            </w:tcMar>
            <w:vAlign w:val="center"/>
          </w:tcPr>
          <w:p>
            <w:pPr>
              <w:pStyle w:val="MdTableCell"/>
            </w:pPr>
            <w:r>
              <w:t xml:space="preserve">Correct status and schema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Risk engine</w:t>
            </w:r>
          </w:p>
        </w:tc>
        <w:tc>
          <w:tcPr>
            <w:tcMar>
              <w:top w:type="dxa" w:w="80"/>
              <w:left w:type="dxa" w:w="120"/>
              <w:bottom w:type="dxa" w:w="80"/>
              <w:right w:type="dxa" w:w="120"/>
            </w:tcMar>
            <w:vAlign w:val="center"/>
          </w:tcPr>
          <w:p>
            <w:pPr>
              <w:pStyle w:val="MdTableCell"/>
            </w:pPr>
            <w:r>
              <w:t xml:space="preserve">Risk score boundaries and deterministic fixtures</w:t>
            </w:r>
          </w:p>
        </w:tc>
        <w:tc>
          <w:tcPr>
            <w:tcBorders>
              <w:right w:val="none"/>
            </w:tcBorders>
            <w:tcMar>
              <w:top w:type="dxa" w:w="80"/>
              <w:left w:type="dxa" w:w="120"/>
              <w:bottom w:type="dxa" w:w="80"/>
              <w:right w:type="dxa" w:w="120"/>
            </w:tcMar>
            <w:vAlign w:val="center"/>
          </w:tcPr>
          <w:p>
            <w:pPr>
              <w:pStyle w:val="MdTableCell"/>
            </w:pPr>
            <w:r>
              <w:t xml:space="preserve">Stable expected values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x402 challenge</w:t>
            </w:r>
          </w:p>
        </w:tc>
        <w:tc>
          <w:tcPr>
            <w:tcMar>
              <w:top w:type="dxa" w:w="80"/>
              <w:left w:type="dxa" w:w="120"/>
              <w:bottom w:type="dxa" w:w="80"/>
              <w:right w:type="dxa" w:w="120"/>
            </w:tcMar>
            <w:vAlign w:val="center"/>
          </w:tcPr>
          <w:p>
            <w:pPr>
              <w:pStyle w:val="MdTableCell"/>
            </w:pPr>
            <w:r>
              <w:t xml:space="preserve">Unpaid request</w:t>
            </w:r>
          </w:p>
        </w:tc>
        <w:tc>
          <w:tcPr>
            <w:tcBorders>
              <w:right w:val="none"/>
            </w:tcBorders>
            <w:tcMar>
              <w:top w:type="dxa" w:w="80"/>
              <w:left w:type="dxa" w:w="120"/>
              <w:bottom w:type="dxa" w:w="80"/>
              <w:right w:type="dxa" w:w="120"/>
            </w:tcMar>
            <w:vAlign w:val="center"/>
          </w:tcPr>
          <w:p>
            <w:pPr>
              <w:pStyle w:val="MdTableCell"/>
            </w:pPr>
            <w:r>
              <w:t xml:space="preserve">HTTP 402 and </w:t>
            </w:r>
            <w:r>
              <w:rPr>
                <w:rStyle w:val="MdCode"/>
                <w:u w:val="single"/>
              </w:rPr>
              <w:t xml:space="preserve">PAYMENT-REQUIRED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x402 client</w:t>
            </w:r>
          </w:p>
        </w:tc>
        <w:tc>
          <w:tcPr>
            <w:tcMar>
              <w:top w:type="dxa" w:w="80"/>
              <w:left w:type="dxa" w:w="120"/>
              <w:bottom w:type="dxa" w:w="80"/>
              <w:right w:type="dxa" w:w="120"/>
            </w:tcMar>
            <w:vAlign w:val="center"/>
          </w:tcPr>
          <w:p>
            <w:pPr>
              <w:pStyle w:val="MdTableCell"/>
            </w:pPr>
            <w:r>
              <w:t xml:space="preserve">Requirement parsing and payload creation</w:t>
            </w:r>
          </w:p>
        </w:tc>
        <w:tc>
          <w:tcPr>
            <w:tcBorders>
              <w:right w:val="none"/>
            </w:tcBorders>
            <w:tcMar>
              <w:top w:type="dxa" w:w="80"/>
              <w:left w:type="dxa" w:w="120"/>
              <w:bottom w:type="dxa" w:w="80"/>
              <w:right w:type="dxa" w:w="120"/>
            </w:tcMar>
            <w:vAlign w:val="center"/>
          </w:tcPr>
          <w:p>
            <w:pPr>
              <w:pStyle w:val="MdTableCell"/>
            </w:pPr>
            <w:r>
              <w:t xml:space="preserve">Valid x402 v2 payload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Headers</w:t>
            </w:r>
          </w:p>
        </w:tc>
        <w:tc>
          <w:tcPr>
            <w:tcMar>
              <w:top w:type="dxa" w:w="80"/>
              <w:left w:type="dxa" w:w="120"/>
              <w:bottom w:type="dxa" w:w="80"/>
              <w:right w:type="dxa" w:w="120"/>
            </w:tcMar>
            <w:vAlign w:val="center"/>
          </w:tcPr>
          <w:p>
            <w:pPr>
              <w:pStyle w:val="MdTableCell"/>
            </w:pPr>
            <w:r>
              <w:t xml:space="preserve">Actual SDK transport behavior</w:t>
            </w:r>
          </w:p>
        </w:tc>
        <w:tc>
          <w:tcPr>
            <w:tcBorders>
              <w:right w:val="none"/>
            </w:tcBorders>
            <w:tcMar>
              <w:top w:type="dxa" w:w="80"/>
              <w:left w:type="dxa" w:w="120"/>
              <w:bottom w:type="dxa" w:w="80"/>
              <w:right w:type="dxa" w:w="120"/>
            </w:tcMar>
            <w:vAlign w:val="center"/>
          </w:tcPr>
          <w:p>
            <w:pPr>
              <w:pStyle w:val="MdTableCell"/>
            </w:pPr>
            <w:r>
              <w:t xml:space="preserve">Canonical headers or documented adapter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Facilitator</w:t>
            </w:r>
          </w:p>
        </w:tc>
        <w:tc>
          <w:tcPr>
            <w:tcMar>
              <w:top w:type="dxa" w:w="80"/>
              <w:left w:type="dxa" w:w="120"/>
              <w:bottom w:type="dxa" w:w="80"/>
              <w:right w:type="dxa" w:w="120"/>
            </w:tcMar>
            <w:vAlign w:val="center"/>
          </w:tcPr>
          <w:p>
            <w:pPr>
              <w:pStyle w:val="MdTableCell"/>
            </w:pPr>
            <w:r>
              <w:rPr>
                <w:rStyle w:val="MdCode"/>
                <w:u w:val="single"/>
              </w:rPr>
              <w:t xml:space="preserve">/verify</w:t>
            </w:r>
            <w:r>
              <w:t xml:space="preserve"> and </w:t>
            </w:r>
            <w:r>
              <w:rPr>
                <w:rStyle w:val="MdCode"/>
                <w:u w:val="single"/>
              </w:rPr>
              <w:t xml:space="preserve">/settle</w:t>
            </w:r>
            <w:r>
              <w:t xml:space="preserve"> testnet calls</w:t>
            </w:r>
          </w:p>
        </w:tc>
        <w:tc>
          <w:tcPr>
            <w:tcBorders>
              <w:right w:val="none"/>
            </w:tcBorders>
            <w:tcMar>
              <w:top w:type="dxa" w:w="80"/>
              <w:left w:type="dxa" w:w="120"/>
              <w:bottom w:type="dxa" w:w="80"/>
              <w:right w:type="dxa" w:w="120"/>
            </w:tcMar>
            <w:vAlign w:val="center"/>
          </w:tcPr>
          <w:p>
            <w:pPr>
              <w:pStyle w:val="MdTableCell"/>
            </w:pPr>
            <w:r>
              <w:t xml:space="preserve">Valid verification and settlement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Hedera</w:t>
            </w:r>
          </w:p>
        </w:tc>
        <w:tc>
          <w:tcPr>
            <w:tcMar>
              <w:top w:type="dxa" w:w="80"/>
              <w:left w:type="dxa" w:w="120"/>
              <w:bottom w:type="dxa" w:w="80"/>
              <w:right w:type="dxa" w:w="120"/>
            </w:tcMar>
            <w:vAlign w:val="center"/>
          </w:tcPr>
          <w:p>
            <w:pPr>
              <w:pStyle w:val="MdTableCell"/>
            </w:pPr>
            <w:r>
              <w:t xml:space="preserve">Transaction visibility</w:t>
            </w:r>
          </w:p>
        </w:tc>
        <w:tc>
          <w:tcPr>
            <w:tcBorders>
              <w:right w:val="none"/>
            </w:tcBorders>
            <w:tcMar>
              <w:top w:type="dxa" w:w="80"/>
              <w:left w:type="dxa" w:w="120"/>
              <w:bottom w:type="dxa" w:w="80"/>
              <w:right w:type="dxa" w:w="120"/>
            </w:tcMar>
            <w:vAlign w:val="center"/>
          </w:tcPr>
          <w:p>
            <w:pPr>
              <w:pStyle w:val="MdTableCell"/>
            </w:pPr>
            <w:r>
              <w:t xml:space="preserve">HashScan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Failure</w:t>
            </w:r>
          </w:p>
        </w:tc>
        <w:tc>
          <w:tcPr>
            <w:tcMar>
              <w:top w:type="dxa" w:w="80"/>
              <w:left w:type="dxa" w:w="120"/>
              <w:bottom w:type="dxa" w:w="80"/>
              <w:right w:type="dxa" w:w="120"/>
            </w:tcMar>
            <w:vAlign w:val="center"/>
          </w:tcPr>
          <w:p>
            <w:pPr>
              <w:pStyle w:val="MdTableCell"/>
            </w:pPr>
            <w:r>
              <w:t xml:space="preserve">Wrong amount, recipient, network, asset, timeout</w:t>
            </w:r>
          </w:p>
        </w:tc>
        <w:tc>
          <w:tcPr>
            <w:tcBorders>
              <w:right w:val="none"/>
            </w:tcBorders>
            <w:tcMar>
              <w:top w:type="dxa" w:w="80"/>
              <w:left w:type="dxa" w:w="120"/>
              <w:bottom w:type="dxa" w:w="80"/>
              <w:right w:type="dxa" w:w="120"/>
            </w:tcMar>
            <w:vAlign w:val="center"/>
          </w:tcPr>
          <w:p>
            <w:pPr>
              <w:pStyle w:val="MdTableCell"/>
            </w:pPr>
            <w:r>
              <w:t xml:space="preserve">Rejected safely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Replay</w:t>
            </w:r>
          </w:p>
        </w:tc>
        <w:tc>
          <w:tcPr>
            <w:tcMar>
              <w:top w:type="dxa" w:w="80"/>
              <w:left w:type="dxa" w:w="120"/>
              <w:bottom w:type="dxa" w:w="80"/>
              <w:right w:type="dxa" w:w="120"/>
            </w:tcMar>
            <w:vAlign w:val="center"/>
          </w:tcPr>
          <w:p>
            <w:pPr>
              <w:pStyle w:val="MdTableCell"/>
            </w:pPr>
            <w:r>
              <w:t xml:space="preserve">Reuse of settled payload</w:t>
            </w:r>
          </w:p>
        </w:tc>
        <w:tc>
          <w:tcPr>
            <w:tcBorders>
              <w:right w:val="none"/>
            </w:tcBorders>
            <w:tcMar>
              <w:top w:type="dxa" w:w="80"/>
              <w:left w:type="dxa" w:w="120"/>
              <w:bottom w:type="dxa" w:w="80"/>
              <w:right w:type="dxa" w:w="120"/>
            </w:tcMar>
            <w:vAlign w:val="center"/>
          </w:tcPr>
          <w:p>
            <w:pPr>
              <w:pStyle w:val="MdTableCell"/>
            </w:pPr>
            <w:r>
              <w:t xml:space="preserve">Rejected or idempotently handled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fallback</w:t>
            </w:r>
          </w:p>
        </w:tc>
        <w:tc>
          <w:tcPr>
            <w:tcMar>
              <w:top w:type="dxa" w:w="80"/>
              <w:left w:type="dxa" w:w="120"/>
              <w:bottom w:type="dxa" w:w="80"/>
              <w:right w:type="dxa" w:w="120"/>
            </w:tcMar>
            <w:vAlign w:val="center"/>
          </w:tcPr>
          <w:p>
            <w:pPr>
              <w:pStyle w:val="MdTableCell"/>
            </w:pPr>
            <w:r>
              <w:t xml:space="preserve">Missing provider or stale data</w:t>
            </w:r>
          </w:p>
        </w:tc>
        <w:tc>
          <w:tcPr>
            <w:tcBorders>
              <w:right w:val="none"/>
            </w:tcBorders>
            <w:tcMar>
              <w:top w:type="dxa" w:w="80"/>
              <w:left w:type="dxa" w:w="120"/>
              <w:bottom w:type="dxa" w:w="80"/>
              <w:right w:type="dxa" w:w="120"/>
            </w:tcMar>
            <w:vAlign w:val="center"/>
          </w:tcPr>
          <w:p>
            <w:pPr>
              <w:pStyle w:val="MdTableCell"/>
            </w:pPr>
            <w:r>
              <w:t xml:space="preserve">Explicit fallback/error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End-to-end</w:t>
            </w:r>
          </w:p>
        </w:tc>
        <w:tc>
          <w:tcPr>
            <w:tcBorders>
              <w:bottom w:val="single" w:color="E1E4E8" w:sz="4"/>
            </w:tcBorders>
            <w:tcMar>
              <w:top w:type="dxa" w:w="80"/>
              <w:left w:type="dxa" w:w="120"/>
              <w:bottom w:type="dxa" w:w="80"/>
              <w:right w:type="dxa" w:w="120"/>
            </w:tcMar>
            <w:vAlign w:val="center"/>
          </w:tcPr>
          <w:p>
            <w:pPr>
              <w:pStyle w:val="MdTableCell"/>
            </w:pPr>
            <w:r>
              <w:t xml:space="preserve">Full unpaid-to-paid lifecycle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Paid analysis returned</w:t>
            </w:r>
          </w:p>
        </w:tc>
      </w:tr>
    </w:tbl>
    <w:p>
      <w:pPr>
        <w:pStyle w:val="MdParagraph"/>
      </w:pPr>
      <w:r>
        <w:t xml:space="preserve">The live testnet test is environment-gated and must never run with committed credentials. Unit tests must not require testnet access.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23. Environment Configuration</w:t>
      </w:r>
    </w:p>
    <w:p>
      <w:pPr>
        <w:pStyle w:val="MdParagraph"/>
      </w:pPr>
      <w:r>
        <w:t xml:space="preserve">The </w:t>
      </w:r>
      <w:r>
        <w:rPr>
          <w:rStyle w:val="MdCode"/>
          <w:u w:val="single"/>
        </w:rPr>
        <w:t xml:space="preserve">.env.example</w:t>
      </w:r>
      <w:r>
        <w:t xml:space="preserve"> file will contain names only, with safe placeholders: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Runtime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NODE_ENV=development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API_PORT=4000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AI_ENGINE_URL=http://localhost:8000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Hedera testnet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HEDERA_NETWORK=hedera:testnet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HEDERA_SERVICE_ACCOUNT_ID=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HEDERA_SERVICE_PRIVATE_KEY=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HEDERA_AGENT_ACCOUNT_ID=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HEDERA_AGENT_PRIVATE_KEY=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x402 and Blocky402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X402_VERSION=2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X402_SCHEME=exact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X402_ASSET_ID=0.0.0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X402_PRICE_TINYBARS=1000000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BLOCKY402_FACILITATOR_URL=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HCS optional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HCS_AUDIT_TOPIC_ID=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Data providers, optional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SAUCERSWAP_API_URL=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BONZO_API_URL=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AI provider, server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AI_PROVIDER=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AI_API_KEY=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Frontend public values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NEXT_PUBLIC_API_URL=http://localhost:4000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NEXT_PUBLIC_HEDERA_NETWORK=hedera:testnet</w:t>
      </w:r>
    </w:p>
    <w:p>
      <w:pPr>
        <w:pStyle w:val="MdSpace"/>
        <w:spacing w:before="0" w:after="60"/>
      </w:pPr>
    </w:p>
    <w:p>
      <w:pPr>
        <w:pStyle w:val="MdParagraph"/>
      </w:pPr>
      <w:r>
        <w:t xml:space="preserve">The actual environment file is local and ignored by Git. Private keys must never use </w:t>
      </w:r>
      <w:r>
        <w:rPr>
          <w:rStyle w:val="MdCode"/>
          <w:u w:val="single"/>
        </w:rPr>
        <w:t xml:space="preserve">NEXT_PUBLIC_</w:t>
      </w:r>
      <w:r>
        <w:t xml:space="preserve"> prefixes.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24. Docker and Local Development</w:t>
      </w:r>
    </w:p>
    <w:p>
      <w:pPr>
        <w:pStyle w:val="MdParagraph"/>
      </w:pPr>
      <w:r>
        <w:t xml:space="preserve">Phase 1 does not require Docker. Bun workspace validation must work directly on the host. Docker Compose becomes useful when the gateway, FastAPI engine, and optional supporting services need coordinated startup.</w:t>
      </w:r>
    </w:p>
    <w:p>
      <w:pPr>
        <w:pStyle w:val="MdSpace"/>
        <w:spacing w:before="0" w:after="60"/>
      </w:pPr>
    </w:p>
    <w:p>
      <w:pPr>
        <w:pStyle w:val="MdParagraph"/>
      </w:pPr>
      <w:r>
        <w:t xml:space="preserve">The first local development topology is: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Consuming agent → API gateway → AI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Blocky402</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Hedera testnet</w:t>
      </w:r>
    </w:p>
    <w:p>
      <w:pPr>
        <w:pStyle w:val="MdSpace"/>
        <w:spacing w:before="0" w:after="60"/>
      </w:pPr>
    </w:p>
    <w:p>
      <w:pPr>
        <w:pStyle w:val="MdParagraph"/>
      </w:pPr>
      <w:r>
        <w:t xml:space="preserve">The agent can be run as a separate process so the payment lifecycle remains visible during the demo.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25. Sequential Implementation Roadmap</w:t>
      </w:r>
    </w:p>
    <w:p>
      <w:pPr>
        <w:pStyle w:val="Heading3"/>
        <w:pStyle w:val="MdHeading3"/>
      </w:pPr>
      <w:r>
        <w:t xml:space="preserve">Phase 1 — Repository and Bun Workspace Bootstrap</w:t>
      </w:r>
    </w:p>
    <w:p>
      <w:pPr>
        <w:pStyle w:val="MdParagraph"/>
      </w:pPr>
      <w:r>
        <w:rPr>
          <w:rStyle w:val="MdStrong"/>
          <w:b/>
          <w:bCs/>
        </w:rPr>
        <w:t xml:space="preserve">Goal:</w:t>
      </w:r>
      <w:r>
        <w:t xml:space="preserve"> Establish and test only the repository foundation.</w:t>
      </w:r>
    </w:p>
    <w:p>
      <w:pPr>
        <w:pStyle w:val="MdSpace"/>
        <w:spacing w:before="0" w:after="60"/>
      </w:pPr>
    </w:p>
    <w:p>
      <w:pPr>
        <w:pStyle w:val="MdParagraph"/>
      </w:pPr>
      <w:r>
        <w:rPr>
          <w:rStyle w:val="MdStrong"/>
          <w:b/>
          <w:bCs/>
        </w:rPr>
        <w:t xml:space="preserve">Files to create:</w:t>
      </w:r>
    </w:p>
    <w:p>
      <w:pPr>
        <w:pStyle w:val="MdSpace"/>
        <w:spacing w:before="0" w:after="60"/>
      </w:pPr>
    </w:p>
    <w:p>
      <w:pPr>
        <w:pStyle w:val="MdListItem"/>
        <w:numPr>
          <w:ilvl w:val="0"/>
          <w:numId w:val="3"/>
        </w:numPr>
      </w:pPr>
      <w:r>
        <w:rPr>
          <w:rStyle w:val="MdCode"/>
          <w:u w:val="single"/>
        </w:rPr>
        <w:t xml:space="preserve">strata402/package.json</w:t>
      </w:r>
    </w:p>
    <w:p>
      <w:pPr>
        <w:pStyle w:val="MdListItem"/>
        <w:numPr>
          <w:ilvl w:val="0"/>
          <w:numId w:val="3"/>
        </w:numPr>
      </w:pPr>
      <w:r>
        <w:rPr>
          <w:rStyle w:val="MdCode"/>
          <w:u w:val="single"/>
        </w:rPr>
        <w:t xml:space="preserve">strata402/bunfig.toml</w:t>
      </w:r>
    </w:p>
    <w:p>
      <w:pPr>
        <w:pStyle w:val="MdListItem"/>
        <w:numPr>
          <w:ilvl w:val="0"/>
          <w:numId w:val="3"/>
        </w:numPr>
      </w:pPr>
      <w:r>
        <w:rPr>
          <w:rStyle w:val="MdCode"/>
          <w:u w:val="single"/>
        </w:rPr>
        <w:t xml:space="preserve">strata402/tsconfig.json</w:t>
      </w:r>
    </w:p>
    <w:p>
      <w:pPr>
        <w:pStyle w:val="MdListItem"/>
        <w:numPr>
          <w:ilvl w:val="0"/>
          <w:numId w:val="3"/>
        </w:numPr>
      </w:pPr>
      <w:r>
        <w:rPr>
          <w:rStyle w:val="MdCode"/>
          <w:u w:val="single"/>
        </w:rPr>
        <w:t xml:space="preserve">strata402/.gitignore</w:t>
      </w:r>
    </w:p>
    <w:p>
      <w:pPr>
        <w:pStyle w:val="MdListItem"/>
        <w:numPr>
          <w:ilvl w:val="0"/>
          <w:numId w:val="3"/>
        </w:numPr>
      </w:pPr>
      <w:r>
        <w:rPr>
          <w:rStyle w:val="MdCode"/>
          <w:u w:val="single"/>
        </w:rPr>
        <w:t xml:space="preserve">strata402/.env.example</w:t>
      </w:r>
    </w:p>
    <w:p>
      <w:pPr>
        <w:pStyle w:val="MdListItem"/>
        <w:numPr>
          <w:ilvl w:val="0"/>
          <w:numId w:val="3"/>
        </w:numPr>
      </w:pPr>
      <w:r>
        <w:rPr>
          <w:rStyle w:val="MdCode"/>
          <w:u w:val="single"/>
        </w:rPr>
        <w:t xml:space="preserve">strata402/README.md</w:t>
      </w:r>
    </w:p>
    <w:p>
      <w:pPr>
        <w:pStyle w:val="MdListItem"/>
        <w:numPr>
          <w:ilvl w:val="0"/>
          <w:numId w:val="3"/>
        </w:numPr>
      </w:pPr>
      <w:r>
        <w:t xml:space="preserve">Empty initial workspace directories under </w:t>
      </w:r>
      <w:r>
        <w:rPr>
          <w:rStyle w:val="MdCode"/>
          <w:u w:val="single"/>
        </w:rPr>
        <w:t xml:space="preserve">apps/</w:t>
      </w:r>
      <w:r>
        <w:t xml:space="preserve">, </w:t>
      </w:r>
      <w:r>
        <w:rPr>
          <w:rStyle w:val="MdCode"/>
          <w:u w:val="single"/>
        </w:rPr>
        <w:t xml:space="preserve">services/</w:t>
      </w:r>
      <w:r>
        <w:t xml:space="preserve">, </w:t>
      </w:r>
      <w:r>
        <w:rPr>
          <w:rStyle w:val="MdCode"/>
          <w:u w:val="single"/>
        </w:rPr>
        <w:t xml:space="preserve">contracts/</w:t>
      </w:r>
      <w:r>
        <w:t xml:space="preserve">, </w:t>
      </w:r>
      <w:r>
        <w:rPr>
          <w:rStyle w:val="MdCode"/>
          <w:u w:val="single"/>
        </w:rPr>
        <w:t xml:space="preserve">packages/</w:t>
      </w:r>
      <w:r>
        <w:t xml:space="preserve">, </w:t>
      </w:r>
      <w:r>
        <w:rPr>
          <w:rStyle w:val="MdCode"/>
          <w:u w:val="single"/>
        </w:rPr>
        <w:t xml:space="preserve">tests/</w:t>
      </w:r>
      <w:r>
        <w:t xml:space="preserve">, and </w:t>
      </w:r>
      <w:r>
        <w:rPr>
          <w:rStyle w:val="MdCode"/>
          <w:u w:val="single"/>
        </w:rPr>
        <w:t xml:space="preserve">docs/</w:t>
      </w:r>
      <w:r>
        <w:t xml:space="preserve">.</w:t>
      </w:r>
    </w:p>
    <w:p>
      <w:pPr>
        <w:pStyle w:val="MdSpace"/>
        <w:spacing w:before="0" w:after="60"/>
      </w:pPr>
    </w:p>
    <w:p>
      <w:pPr>
        <w:pStyle w:val="MdParagraph"/>
      </w:pPr>
      <w:r>
        <w:rPr>
          <w:rStyle w:val="MdStrong"/>
          <w:b/>
          <w:bCs/>
        </w:rPr>
        <w:t xml:space="preserve">Commands to run: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@x402/hedera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version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test:workspace</w:t>
      </w:r>
    </w:p>
    <w:p>
      <w:pPr>
        <w:pStyle w:val="MdSpace"/>
        <w:spacing w:before="0" w:after="60"/>
      </w:pPr>
    </w:p>
    <w:p>
      <w:pPr>
        <w:pStyle w:val="MdParagraph"/>
      </w:pPr>
      <w:r>
        <w:rPr>
          <w:rStyle w:val="MdStrong"/>
          <w:b/>
          <w:bCs/>
        </w:rPr>
        <w:t xml:space="preserve">Expected output:</w:t>
      </w:r>
      <w:r>
        <w:t xml:space="preserve"> Bun and Node versions are displayed, the current package version is recorded locally, dependencies install without errors, and the workspace test exits successfully.</w:t>
      </w:r>
    </w:p>
    <w:p>
      <w:pPr>
        <w:pStyle w:val="MdSpace"/>
        <w:spacing w:before="0" w:after="60"/>
      </w:pPr>
    </w:p>
    <w:p>
      <w:pPr>
        <w:pStyle w:val="MdParagraph"/>
      </w:pPr>
      <w:r>
        <w:rPr>
          <w:rStyle w:val="MdStrong"/>
          <w:b/>
          <w:bCs/>
        </w:rPr>
        <w:t xml:space="preserve">Tests:</w:t>
      </w:r>
      <w:r>
        <w:t xml:space="preserve"> Verify workspace discovery, package metadata, and a minimal deterministic workspace assertion.</w:t>
      </w:r>
    </w:p>
    <w:p>
      <w:pPr>
        <w:pStyle w:val="MdSpace"/>
        <w:spacing w:before="0" w:after="60"/>
      </w:pPr>
    </w:p>
    <w:p>
      <w:pPr>
        <w:pStyle w:val="MdParagraph"/>
      </w:pPr>
      <w:r>
        <w:rPr>
          <w:rStyle w:val="MdStrong"/>
          <w:b/>
          <w:bCs/>
        </w:rPr>
        <w:t xml:space="preserve">Acceptance criteria:</w:t>
      </w:r>
      <w:r>
        <w:t xml:space="preserve"> No x402 gateway, AI engine, contract logic, or consuming-agent payment logic is written in this phase. The repository is clean, installable, and ready for Phase 2.</w:t>
      </w:r>
    </w:p>
    <w:p>
      <w:pPr>
        <w:pStyle w:val="MdSpace"/>
        <w:spacing w:before="0" w:after="60"/>
      </w:pPr>
    </w:p>
    <w:p>
      <w:pPr>
        <w:pStyle w:val="MdParagraph"/>
      </w:pPr>
      <w:r>
        <w:rPr>
          <w:rStyle w:val="MdStrong"/>
          <w:b/>
          <w:bCs/>
        </w:rPr>
        <w:t xml:space="preserve">Failure points:</w:t>
      </w:r>
      <w:r>
        <w:t xml:space="preserve"> Missing Bun, incorrect workspace globs, incompatible package manager configuration, or a package-resolution error. Fix only the bootstrap issue and rerun the same validation.</w:t>
      </w:r>
    </w:p>
    <w:p>
      <w:pPr>
        <w:pStyle w:val="MdSpace"/>
        <w:spacing w:before="0" w:after="60"/>
      </w:pPr>
    </w:p>
    <w:p>
      <w:pPr>
        <w:pStyle w:val="MdParagraph"/>
      </w:pPr>
      <w:r>
        <w:rPr>
          <w:rStyle w:val="MdStrong"/>
          <w:b/>
          <w:bCs/>
        </w:rPr>
        <w:t xml:space="preserve">Rollback:</w:t>
      </w:r>
      <w:r>
        <w:t xml:space="preserve"> Remove generated dependency directories and restore the repository to the initial empty workspace state. Do not proceed to payment implementation.</w:t>
      </w:r>
    </w:p>
    <w:p>
      <w:pPr>
        <w:pStyle w:val="MdSpace"/>
        <w:spacing w:before="0" w:after="60"/>
      </w:pPr>
    </w:p>
    <w:p>
      <w:pPr>
        <w:pStyle w:val="Heading3"/>
        <w:pStyle w:val="MdHeading3"/>
      </w:pPr>
      <w:r>
        <w:t xml:space="preserve">Phase 2 — Gateway and Free Endpoints</w:t>
      </w:r>
    </w:p>
    <w:p>
      <w:pPr>
        <w:pStyle w:val="MdParagraph"/>
      </w:pPr>
      <w:r>
        <w:t xml:space="preserve">Create only the API gateway skeleton with </w:t>
      </w:r>
      <w:r>
        <w:rPr>
          <w:rStyle w:val="MdCode"/>
          <w:u w:val="single"/>
        </w:rPr>
        <w:t xml:space="preserve">/health</w:t>
      </w:r>
      <w:r>
        <w:t xml:space="preserve"> and </w:t>
      </w:r>
      <w:r>
        <w:rPr>
          <w:rStyle w:val="MdCode"/>
          <w:u w:val="single"/>
        </w:rPr>
        <w:t xml:space="preserve">/v1/services</w:t>
      </w:r>
      <w:r>
        <w:t xml:space="preserve">. Add request IDs, validation boundaries, and unit tests. Do not add live payment settlement until the free service contract is verified.</w:t>
      </w:r>
    </w:p>
    <w:p>
      <w:pPr>
        <w:pStyle w:val="MdSpace"/>
        <w:spacing w:before="0" w:after="60"/>
      </w:pPr>
    </w:p>
    <w:p>
      <w:pPr>
        <w:pStyle w:val="Heading3"/>
        <w:pStyle w:val="MdHeading3"/>
      </w:pPr>
      <w:r>
        <w:t xml:space="preserve">Phase 3 — AI Engine Contract</w:t>
      </w:r>
    </w:p>
    <w:p>
      <w:pPr>
        <w:pStyle w:val="MdParagraph"/>
      </w:pPr>
      <w:r>
        <w:t xml:space="preserve">Create the FastAPI engine with deterministic fixtures and a stable internal strategy response. Test calculations independently. Label all fallback data.</w:t>
      </w:r>
    </w:p>
    <w:p>
      <w:pPr>
        <w:pStyle w:val="MdSpace"/>
        <w:spacing w:before="0" w:after="60"/>
      </w:pPr>
    </w:p>
    <w:p>
      <w:pPr>
        <w:pStyle w:val="Heading3"/>
        <w:pStyle w:val="MdHeading3"/>
      </w:pPr>
      <w:r>
        <w:t xml:space="preserve">Phase 4 — x402 Resource Server Integration</w:t>
      </w:r>
    </w:p>
    <w:p>
      <w:pPr>
        <w:pStyle w:val="MdParagraph"/>
      </w:pPr>
      <w:r>
        <w:t xml:space="preserve">Integrate the selected official x402 packages. Verify the actual installed package APIs, payment headers, Hedera requirements, tinybar amounts, and Blocky402 endpoint behavior. Add tests for the HTTP 402 response.</w:t>
      </w:r>
    </w:p>
    <w:p>
      <w:pPr>
        <w:pStyle w:val="MdSpace"/>
        <w:spacing w:before="0" w:after="60"/>
      </w:pPr>
    </w:p>
    <w:p>
      <w:pPr>
        <w:pStyle w:val="Heading3"/>
        <w:pStyle w:val="MdHeading3"/>
      </w:pPr>
      <w:r>
        <w:t xml:space="preserve">Phase 5 — Consuming Agent</w:t>
      </w:r>
    </w:p>
    <w:p>
      <w:pPr>
        <w:pStyle w:val="MdParagraph"/>
      </w:pPr>
      <w:r>
        <w:t xml:space="preserve">Implement discovery, requirement validation, Hedera signer setup, payment payload creation, retry transport, settlement parsing, and safe output. Add mocked tests before a live testnet test.</w:t>
      </w:r>
    </w:p>
    <w:p>
      <w:pPr>
        <w:pStyle w:val="MdSpace"/>
        <w:spacing w:before="0" w:after="60"/>
      </w:pPr>
    </w:p>
    <w:p>
      <w:pPr>
        <w:pStyle w:val="Heading3"/>
        <w:pStyle w:val="MdHeading3"/>
      </w:pPr>
      <w:r>
        <w:t xml:space="preserve">Phase 6 — First Live Testnet Payment</w:t>
      </w:r>
    </w:p>
    <w:p>
      <w:pPr>
        <w:pStyle w:val="MdParagraph"/>
      </w:pPr>
      <w:r>
        <w:t xml:space="preserve">Fund separate buyer and service accounts, run one real paid request, capture the settlement response, and verify the transaction on HashScan. Fix payment integration issues before adding any feature.</w:t>
      </w:r>
    </w:p>
    <w:p>
      <w:pPr>
        <w:pStyle w:val="MdSpace"/>
        <w:spacing w:before="0" w:after="60"/>
      </w:pPr>
    </w:p>
    <w:p>
      <w:pPr>
        <w:pStyle w:val="Heading3"/>
        <w:pStyle w:val="MdHeading3"/>
      </w:pPr>
      <w:r>
        <w:t xml:space="preserve">Phase 7 — Data Enrichment</w:t>
      </w:r>
    </w:p>
    <w:p>
      <w:pPr>
        <w:pStyle w:val="MdParagraph"/>
      </w:pPr>
      <w:r>
        <w:t xml:space="preserve">Add verified Hedera Mirror Node data. Then add SaucerSwap and Bonzo adapters only after their current official interfaces are confirmed. Add freshness and fallback behavior.</w:t>
      </w:r>
    </w:p>
    <w:p>
      <w:pPr>
        <w:pStyle w:val="MdSpace"/>
        <w:spacing w:before="0" w:after="60"/>
      </w:pPr>
    </w:p>
    <w:p>
      <w:pPr>
        <w:pStyle w:val="Heading3"/>
        <w:pStyle w:val="MdHeading3"/>
      </w:pPr>
      <w:r>
        <w:t xml:space="preserve">Phase 8 — Optional HCS Audit and Discovery</w:t>
      </w:r>
    </w:p>
    <w:p>
      <w:pPr>
        <w:pStyle w:val="MdParagraph"/>
      </w:pPr>
      <w:r>
        <w:t xml:space="preserve">Create an HCS topic and publish safe audit records. Add a directory or HCS-backed metadata only if the core demo remains stable.</w:t>
      </w:r>
    </w:p>
    <w:p>
      <w:pPr>
        <w:pStyle w:val="MdSpace"/>
        <w:spacing w:before="0" w:after="60"/>
      </w:pPr>
    </w:p>
    <w:p>
      <w:pPr>
        <w:pStyle w:val="Heading3"/>
        <w:pStyle w:val="MdHeading3"/>
      </w:pPr>
      <w:r>
        <w:t xml:space="preserve">Phase 9 — Dashboard and Presentation Polish</w:t>
      </w:r>
    </w:p>
    <w:p>
      <w:pPr>
        <w:pStyle w:val="MdParagraph"/>
      </w:pPr>
      <w:r>
        <w:t xml:space="preserve">Build the dashboard that visualizes discovery, 402 challenge, payment status, strategy result, settlement evidence, and optional HCS audit. The dashboard must not replace the independent consuming agent.</w:t>
      </w:r>
    </w:p>
    <w:p>
      <w:pPr>
        <w:pStyle w:val="MdSpace"/>
        <w:spacing w:before="0" w:after="60"/>
      </w:pPr>
    </w:p>
    <w:p>
      <w:pPr>
        <w:pStyle w:val="Heading3"/>
        <w:pStyle w:val="MdHeading3"/>
      </w:pPr>
      <w:r>
        <w:t xml:space="preserve">Phase 10 — Contracts and Stretch Features</w:t>
      </w:r>
    </w:p>
    <w:p>
      <w:pPr>
        <w:pStyle w:val="MdParagraph"/>
      </w:pPr>
      <w:r>
        <w:t xml:space="preserve">Only after qualification is proven, evaluate the smart contracts, HTS payments, dynamic metering, and additional agent identity features.</w:t>
      </w:r>
    </w:p>
    <w:p>
      <w:pPr>
        <w:pStyle w:val="MdSpace"/>
        <w:spacing w:before="0" w:after="60"/>
      </w:pPr>
    </w:p>
    <w:p>
      <w:pPr>
        <w:pStyle w:val="MdParagraph"/>
      </w:pPr>
      <w:r>
        <w:t xml:space="preserve">The team must stop after each phase and run that phase's acceptance tests before moving forward.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26. Five-Minute Demo Strategy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Time</w:t>
            </w:r>
          </w:p>
        </w:tc>
        <w:tc>
          <w:tcPr>
            <w:tcBorders>
              <w:right w:val="none"/>
            </w:tcBorders>
            <w:tcMar>
              <w:top w:type="dxa" w:w="100"/>
              <w:left w:type="dxa" w:w="120"/>
              <w:bottom w:type="dxa" w:w="100"/>
              <w:right w:type="dxa" w:w="120"/>
            </w:tcMar>
            <w:vAlign w:val="center"/>
          </w:tcPr>
          <w:p>
            <w:pPr>
              <w:pStyle w:val="MdTableHeader"/>
            </w:pPr>
            <w:r>
              <w:t xml:space="preserve">Demonstration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0:00–0:30</w:t>
            </w:r>
          </w:p>
        </w:tc>
        <w:tc>
          <w:tcPr>
            <w:tcBorders>
              <w:right w:val="none"/>
            </w:tcBorders>
            <w:tcMar>
              <w:top w:type="dxa" w:w="80"/>
              <w:left w:type="dxa" w:w="120"/>
              <w:bottom w:type="dxa" w:w="80"/>
              <w:right w:type="dxa" w:w="120"/>
            </w:tcMar>
            <w:vAlign w:val="center"/>
          </w:tcPr>
          <w:p>
            <w:pPr>
              <w:pStyle w:val="MdTableCell"/>
            </w:pPr>
            <w:r>
              <w:t xml:space="preserve">Introduce Strata402 and the problem of paid agent services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0:30–1:00</w:t>
            </w:r>
          </w:p>
        </w:tc>
        <w:tc>
          <w:tcPr>
            <w:tcBorders>
              <w:right w:val="none"/>
            </w:tcBorders>
            <w:tcMar>
              <w:top w:type="dxa" w:w="80"/>
              <w:left w:type="dxa" w:w="120"/>
              <w:bottom w:type="dxa" w:w="80"/>
              <w:right w:type="dxa" w:w="120"/>
            </w:tcMar>
            <w:vAlign w:val="center"/>
          </w:tcPr>
          <w:p>
            <w:pPr>
              <w:pStyle w:val="MdTableCell"/>
            </w:pPr>
            <w:r>
              <w:t xml:space="preserve">Show </w:t>
            </w:r>
            <w:r>
              <w:rPr>
                <w:rStyle w:val="MdCode"/>
                <w:u w:val="single"/>
              </w:rPr>
              <w:t xml:space="preserve">GET /v1/services</w:t>
            </w:r>
            <w:r>
              <w:t xml:space="preserve"> and service metadata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1:00–1:35</w:t>
            </w:r>
          </w:p>
        </w:tc>
        <w:tc>
          <w:tcPr>
            <w:tcBorders>
              <w:right w:val="none"/>
            </w:tcBorders>
            <w:tcMar>
              <w:top w:type="dxa" w:w="80"/>
              <w:left w:type="dxa" w:w="120"/>
              <w:bottom w:type="dxa" w:w="80"/>
              <w:right w:type="dxa" w:w="120"/>
            </w:tcMar>
            <w:vAlign w:val="center"/>
          </w:tcPr>
          <w:p>
            <w:pPr>
              <w:pStyle w:val="MdTableCell"/>
            </w:pPr>
            <w:r>
              <w:t xml:space="preserve">Send unpaid strategy request and show HTTP 402 with payment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1:35–2:20</w:t>
            </w:r>
          </w:p>
        </w:tc>
        <w:tc>
          <w:tcPr>
            <w:tcBorders>
              <w:right w:val="none"/>
            </w:tcBorders>
            <w:tcMar>
              <w:top w:type="dxa" w:w="80"/>
              <w:left w:type="dxa" w:w="120"/>
              <w:bottom w:type="dxa" w:w="80"/>
              <w:right w:type="dxa" w:w="120"/>
            </w:tcMar>
            <w:vAlign w:val="center"/>
          </w:tcPr>
          <w:p>
            <w:pPr>
              <w:pStyle w:val="MdTableCell"/>
            </w:pPr>
            <w:r>
              <w:t xml:space="preserve">Show the agent selecting Hedera HBAR, signing the payload, and submitting through Blocky402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2:20–3:00</w:t>
            </w:r>
          </w:p>
        </w:tc>
        <w:tc>
          <w:tcPr>
            <w:tcBorders>
              <w:right w:val="none"/>
            </w:tcBorders>
            <w:tcMar>
              <w:top w:type="dxa" w:w="80"/>
              <w:left w:type="dxa" w:w="120"/>
              <w:bottom w:type="dxa" w:w="80"/>
              <w:right w:type="dxa" w:w="120"/>
            </w:tcMar>
            <w:vAlign w:val="center"/>
          </w:tcPr>
          <w:p>
            <w:pPr>
              <w:pStyle w:val="MdTableCell"/>
            </w:pPr>
            <w:r>
              <w:t xml:space="preserve">Show the paid retry and successful AI analysis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3:00–3:40</w:t>
            </w:r>
          </w:p>
        </w:tc>
        <w:tc>
          <w:tcPr>
            <w:tcBorders>
              <w:right w:val="none"/>
            </w:tcBorders>
            <w:tcMar>
              <w:top w:type="dxa" w:w="80"/>
              <w:left w:type="dxa" w:w="120"/>
              <w:bottom w:type="dxa" w:w="80"/>
              <w:right w:type="dxa" w:w="120"/>
            </w:tcMar>
            <w:vAlign w:val="center"/>
          </w:tcPr>
          <w:p>
            <w:pPr>
              <w:pStyle w:val="MdTableCell"/>
            </w:pPr>
            <w:r>
              <w:t xml:space="preserve">Open the Hedera testnet transaction in HashScan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3:40–4:20</w:t>
            </w:r>
          </w:p>
        </w:tc>
        <w:tc>
          <w:tcPr>
            <w:tcBorders>
              <w:right w:val="none"/>
            </w:tcBorders>
            <w:tcMar>
              <w:top w:type="dxa" w:w="80"/>
              <w:left w:type="dxa" w:w="120"/>
              <w:bottom w:type="dxa" w:w="80"/>
              <w:right w:type="dxa" w:w="120"/>
            </w:tcMar>
            <w:vAlign w:val="center"/>
          </w:tcPr>
          <w:p>
            <w:pPr>
              <w:pStyle w:val="MdTableCell"/>
            </w:pPr>
            <w:r>
              <w:t xml:space="preserve">Explain deterministic risk calculation, data source, and disclaimer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4:20–5:00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Map the demo directly to all qualification requirements and show repository structure</w:t>
            </w:r>
          </w:p>
        </w:tc>
      </w:tr>
    </w:tbl>
    <w:p>
      <w:pPr>
        <w:pStyle w:val="MdParagraph"/>
      </w:pPr>
      <w:r>
        <w:t xml:space="preserve">The backup plan is a pre-recorded testnet transaction and a locally replayable fixture for the AI result. The backup must clearly label what is recorded and must not present a fake local payment as a live settlement.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27. README Structure</w:t>
      </w:r>
    </w:p>
    <w:p>
      <w:pPr>
        <w:pStyle w:val="MdParagraph"/>
      </w:pPr>
      <w:r>
        <w:t xml:space="preserve">The repository README will contain:</w:t>
      </w:r>
    </w:p>
    <w:p>
      <w:pPr>
        <w:pStyle w:val="MdSpace"/>
        <w:spacing w:before="0" w:after="60"/>
      </w:pPr>
    </w:p>
    <w:p>
      <w:pPr>
        <w:pStyle w:val="MdListItem"/>
        <w:numPr>
          <w:ilvl w:val="0"/>
          <w:numId w:val="2"/>
        </w:numPr>
      </w:pPr>
      <w:r>
        <w:t xml:space="preserve">Project overview.</w:t>
      </w:r>
    </w:p>
    <w:p>
      <w:pPr>
        <w:pStyle w:val="MdListItem"/>
        <w:numPr>
          <w:ilvl w:val="0"/>
          <w:numId w:val="2"/>
        </w:numPr>
      </w:pPr>
      <w:r>
        <w:t xml:space="preserve">Problem and solution.</w:t>
      </w:r>
    </w:p>
    <w:p>
      <w:pPr>
        <w:pStyle w:val="MdListItem"/>
        <w:numPr>
          <w:ilvl w:val="0"/>
          <w:numId w:val="2"/>
        </w:numPr>
      </w:pPr>
      <w:r>
        <w:t xml:space="preserve">Why Hedera and x402.</w:t>
      </w:r>
    </w:p>
    <w:p>
      <w:pPr>
        <w:pStyle w:val="MdListItem"/>
        <w:numPr>
          <w:ilvl w:val="0"/>
          <w:numId w:val="2"/>
        </w:numPr>
      </w:pPr>
      <w:r>
        <w:t xml:space="preserve">Hackathon qualification mapping.</w:t>
      </w:r>
    </w:p>
    <w:p>
      <w:pPr>
        <w:pStyle w:val="MdListItem"/>
        <w:numPr>
          <w:ilvl w:val="0"/>
          <w:numId w:val="2"/>
        </w:numPr>
      </w:pPr>
      <w:r>
        <w:t xml:space="preserve">Architecture diagram.</w:t>
      </w:r>
    </w:p>
    <w:p>
      <w:pPr>
        <w:pStyle w:val="MdListItem"/>
        <w:numPr>
          <w:ilvl w:val="0"/>
          <w:numId w:val="2"/>
        </w:numPr>
      </w:pPr>
      <w:r>
        <w:t xml:space="preserve">Official x402 v2 payment flow.</w:t>
      </w:r>
    </w:p>
    <w:p>
      <w:pPr>
        <w:pStyle w:val="MdListItem"/>
        <w:numPr>
          <w:ilvl w:val="0"/>
          <w:numId w:val="2"/>
        </w:numPr>
      </w:pPr>
      <w:r>
        <w:t xml:space="preserve">Repository structure.</w:t>
      </w:r>
    </w:p>
    <w:p>
      <w:pPr>
        <w:pStyle w:val="MdListItem"/>
        <w:numPr>
          <w:ilvl w:val="0"/>
          <w:numId w:val="2"/>
        </w:numPr>
      </w:pPr>
      <w:r>
        <w:t xml:space="preserve">Prerequisites.</w:t>
      </w:r>
    </w:p>
    <w:p>
      <w:pPr>
        <w:pStyle w:val="MdListItem"/>
        <w:numPr>
          <w:ilvl w:val="0"/>
          <w:numId w:val="2"/>
        </w:numPr>
      </w:pPr>
      <w:r>
        <w:t xml:space="preserve">Testnet account setup.</w:t>
      </w:r>
    </w:p>
    <w:p>
      <w:pPr>
        <w:pStyle w:val="MdListItem"/>
        <w:numPr>
          <w:ilvl w:val="0"/>
          <w:numId w:val="2"/>
        </w:numPr>
      </w:pPr>
      <w:r>
        <w:t xml:space="preserve">Environment setup.</w:t>
      </w:r>
    </w:p>
    <w:p>
      <w:pPr>
        <w:pStyle w:val="MdListItem"/>
        <w:numPr>
          <w:ilvl w:val="0"/>
          <w:numId w:val="2"/>
        </w:numPr>
      </w:pPr>
      <w:r>
        <w:t xml:space="preserve">Local development.</w:t>
      </w:r>
    </w:p>
    <w:p>
      <w:pPr>
        <w:pStyle w:val="MdListItem"/>
        <w:numPr>
          <w:ilvl w:val="0"/>
          <w:numId w:val="2"/>
        </w:numPr>
      </w:pPr>
      <w:r>
        <w:t xml:space="preserve">Running the gateway.</w:t>
      </w:r>
    </w:p>
    <w:p>
      <w:pPr>
        <w:pStyle w:val="MdListItem"/>
        <w:numPr>
          <w:ilvl w:val="0"/>
          <w:numId w:val="2"/>
        </w:numPr>
      </w:pPr>
      <w:r>
        <w:t xml:space="preserve">Running the AI engine.</w:t>
      </w:r>
    </w:p>
    <w:p>
      <w:pPr>
        <w:pStyle w:val="MdListItem"/>
        <w:numPr>
          <w:ilvl w:val="0"/>
          <w:numId w:val="2"/>
        </w:numPr>
      </w:pPr>
      <w:r>
        <w:t xml:space="preserve">Running the consuming agent.</w:t>
      </w:r>
    </w:p>
    <w:p>
      <w:pPr>
        <w:pStyle w:val="MdListItem"/>
        <w:numPr>
          <w:ilvl w:val="0"/>
          <w:numId w:val="2"/>
        </w:numPr>
      </w:pPr>
      <w:r>
        <w:t xml:space="preserve">Running the paid request.</w:t>
      </w:r>
    </w:p>
    <w:p>
      <w:pPr>
        <w:pStyle w:val="MdListItem"/>
        <w:numPr>
          <w:ilvl w:val="0"/>
          <w:numId w:val="2"/>
        </w:numPr>
      </w:pPr>
      <w:r>
        <w:t xml:space="preserve">HashScan verification.</w:t>
      </w:r>
    </w:p>
    <w:p>
      <w:pPr>
        <w:pStyle w:val="MdListItem"/>
        <w:numPr>
          <w:ilvl w:val="0"/>
          <w:numId w:val="2"/>
        </w:numPr>
      </w:pPr>
      <w:r>
        <w:t xml:space="preserve">Test commands.</w:t>
      </w:r>
    </w:p>
    <w:p>
      <w:pPr>
        <w:pStyle w:val="MdListItem"/>
        <w:numPr>
          <w:ilvl w:val="0"/>
          <w:numId w:val="2"/>
        </w:numPr>
      </w:pPr>
      <w:r>
        <w:t xml:space="preserve">Security notes.</w:t>
      </w:r>
    </w:p>
    <w:p>
      <w:pPr>
        <w:pStyle w:val="MdListItem"/>
        <w:numPr>
          <w:ilvl w:val="0"/>
          <w:numId w:val="2"/>
        </w:numPr>
      </w:pPr>
      <w:r>
        <w:t xml:space="preserve">Limitations.</w:t>
      </w:r>
    </w:p>
    <w:p>
      <w:pPr>
        <w:pStyle w:val="MdListItem"/>
        <w:numPr>
          <w:ilvl w:val="0"/>
          <w:numId w:val="2"/>
        </w:numPr>
      </w:pPr>
      <w:r>
        <w:t xml:space="preserve">Future roadmap.</w:t>
      </w:r>
    </w:p>
    <w:p>
      <w:pPr>
        <w:pStyle w:val="MdListItem"/>
        <w:numPr>
          <w:ilvl w:val="0"/>
          <w:numId w:val="2"/>
        </w:numPr>
      </w:pPr>
      <w:r>
        <w:t xml:space="preserve">Demo video.</w:t>
      </w:r>
    </w:p>
    <w:p>
      <w:pPr>
        <w:pStyle w:val="MdListItem"/>
        <w:numPr>
          <w:ilvl w:val="0"/>
          <w:numId w:val="2"/>
        </w:numPr>
      </w:pPr>
      <w:r>
        <w:t xml:space="preserve">References.</w:t>
      </w:r>
    </w:p>
    <w:p>
      <w:pPr>
        <w:pStyle w:val="MdSpace"/>
        <w:spacing w:before="0" w:after="60"/>
      </w:pPr>
    </w:p>
    <w:p>
      <w:pPr>
        <w:pStyle w:val="MdParagraph"/>
      </w:pPr>
      <w:r>
        <w:t xml:space="preserve">The README will explicitly state that HBAR payment amounts in x402 requirements are tinybars and that the analysis is not financial advice.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28. Scope Control</w:t>
      </w:r>
    </w:p>
    <w:p>
      <w:pPr>
        <w:pStyle w:val="Heading3"/>
        <w:pStyle w:val="MdHeading3"/>
      </w:pPr>
      <w:r>
        <w:t xml:space="preserve">Must build for qualification</w:t>
      </w:r>
    </w:p>
    <w:p>
      <w:pPr>
        <w:pStyle w:val="MdParagraph"/>
      </w:pPr>
      <w:r>
        <w:t xml:space="preserve">The team must build the service discovery endpoint, the paid AI inference endpoint, the HTTP 402 flow, the Hedera exact payment payload, Blocky402 verification and settlement, the independent consuming agent, one real Hedera testnet payment, a structured result, a public README, and a short demo.</w:t>
      </w:r>
    </w:p>
    <w:p>
      <w:pPr>
        <w:pStyle w:val="MdSpace"/>
        <w:spacing w:before="0" w:after="60"/>
      </w:pPr>
    </w:p>
    <w:p>
      <w:pPr>
        <w:pStyle w:val="Heading3"/>
        <w:pStyle w:val="MdHeading3"/>
      </w:pPr>
      <w:r>
        <w:t xml:space="preserve">Should build if time allows</w:t>
      </w:r>
    </w:p>
    <w:p>
      <w:pPr>
        <w:pStyle w:val="MdParagraph"/>
      </w:pPr>
      <w:r>
        <w:t xml:space="preserve">The team may add Mirror Node enrichment, HCS audit records, service-directory improvements, SaucerSwap and Bonzo adapters, dynamic metering, HTS support, and a dashboard after the qualification flow is stable.</w:t>
      </w:r>
    </w:p>
    <w:p>
      <w:pPr>
        <w:pStyle w:val="MdSpace"/>
        <w:spacing w:before="0" w:after="60"/>
      </w:pPr>
    </w:p>
    <w:p>
      <w:pPr>
        <w:pStyle w:val="Heading3"/>
        <w:pStyle w:val="MdHeading3"/>
      </w:pPr>
      <w:r>
        <w:t xml:space="preserve">Must not build before the MVP works</w:t>
      </w:r>
    </w:p>
    <w:p>
      <w:pPr>
        <w:pStyle w:val="MdParagraph"/>
      </w:pPr>
      <w:r>
        <w:t xml:space="preserve">The team must not begin mainnet deployment, complex vaults, autonomous fund execution, cross-chain payments, multi-agent negotiation, ERC-8004, Privy authentication, a full vector database, advanced RAG, or production custody before the first real x402 payment succeeds.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29. Risks and Mitigations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Risk</w:t>
            </w:r>
          </w:p>
        </w:tc>
        <w:tc>
          <w:tcPr>
            <w:tcMar>
              <w:top w:type="dxa" w:w="100"/>
              <w:left w:type="dxa" w:w="120"/>
              <w:bottom w:type="dxa" w:w="100"/>
              <w:right w:type="dxa" w:w="120"/>
            </w:tcMar>
            <w:vAlign w:val="center"/>
          </w:tcPr>
          <w:p>
            <w:pPr>
              <w:pStyle w:val="MdTableHeader"/>
            </w:pPr>
            <w:r>
              <w:t xml:space="preserve">Impact</w:t>
            </w:r>
          </w:p>
        </w:tc>
        <w:tc>
          <w:tcPr>
            <w:tcBorders>
              <w:right w:val="none"/>
            </w:tcBorders>
            <w:tcMar>
              <w:top w:type="dxa" w:w="100"/>
              <w:left w:type="dxa" w:w="120"/>
              <w:bottom w:type="dxa" w:w="100"/>
              <w:right w:type="dxa" w:w="120"/>
            </w:tcMar>
            <w:vAlign w:val="center"/>
          </w:tcPr>
          <w:p>
            <w:pPr>
              <w:pStyle w:val="MdTableHeader"/>
            </w:pPr>
            <w:r>
              <w:t xml:space="preserve">Mitigation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Facilitator API mismatch</w:t>
            </w:r>
          </w:p>
        </w:tc>
        <w:tc>
          <w:tcPr>
            <w:tcMar>
              <w:top w:type="dxa" w:w="80"/>
              <w:left w:type="dxa" w:w="120"/>
              <w:bottom w:type="dxa" w:w="80"/>
              <w:right w:type="dxa" w:w="120"/>
            </w:tcMar>
            <w:vAlign w:val="center"/>
          </w:tcPr>
          <w:p>
            <w:pPr>
              <w:pStyle w:val="MdTableCell"/>
            </w:pPr>
            <w:r>
              <w:t xml:space="preserve">Payment demo fails</w:t>
            </w:r>
          </w:p>
        </w:tc>
        <w:tc>
          <w:tcPr>
            <w:tcBorders>
              <w:right w:val="none"/>
            </w:tcBorders>
            <w:tcMar>
              <w:top w:type="dxa" w:w="80"/>
              <w:left w:type="dxa" w:w="120"/>
              <w:bottom w:type="dxa" w:w="80"/>
              <w:right w:type="dxa" w:w="120"/>
            </w:tcMar>
            <w:vAlign w:val="center"/>
          </w:tcPr>
          <w:p>
            <w:pPr>
              <w:pStyle w:val="MdTableCell"/>
            </w:pPr>
            <w:r>
              <w:t xml:space="preserve">Verify endpoint and SDK behavior before integration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Legacy header examples</w:t>
            </w:r>
          </w:p>
        </w:tc>
        <w:tc>
          <w:tcPr>
            <w:tcMar>
              <w:top w:type="dxa" w:w="80"/>
              <w:left w:type="dxa" w:w="120"/>
              <w:bottom w:type="dxa" w:w="80"/>
              <w:right w:type="dxa" w:w="120"/>
            </w:tcMar>
            <w:vAlign w:val="center"/>
          </w:tcPr>
          <w:p>
            <w:pPr>
              <w:pStyle w:val="MdTableCell"/>
            </w:pPr>
            <w:r>
              <w:t xml:space="preserve">Incorrect transport</w:t>
            </w:r>
          </w:p>
        </w:tc>
        <w:tc>
          <w:tcPr>
            <w:tcBorders>
              <w:right w:val="none"/>
            </w:tcBorders>
            <w:tcMar>
              <w:top w:type="dxa" w:w="80"/>
              <w:left w:type="dxa" w:w="120"/>
              <w:bottom w:type="dxa" w:w="80"/>
              <w:right w:type="dxa" w:w="120"/>
            </w:tcMar>
            <w:vAlign w:val="center"/>
          </w:tcPr>
          <w:p>
            <w:pPr>
              <w:pStyle w:val="MdTableCell"/>
            </w:pPr>
            <w:r>
              <w:t xml:space="preserve">Follow x402 v2 spec and assert actual headers in tests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Tinybar/HBAR confusion</w:t>
            </w:r>
          </w:p>
        </w:tc>
        <w:tc>
          <w:tcPr>
            <w:tcMar>
              <w:top w:type="dxa" w:w="80"/>
              <w:left w:type="dxa" w:w="120"/>
              <w:bottom w:type="dxa" w:w="80"/>
              <w:right w:type="dxa" w:w="120"/>
            </w:tcMar>
            <w:vAlign w:val="center"/>
          </w:tcPr>
          <w:p>
            <w:pPr>
              <w:pStyle w:val="MdTableCell"/>
            </w:pPr>
            <w:r>
              <w:t xml:space="preserve">Wrong amount</w:t>
            </w:r>
          </w:p>
        </w:tc>
        <w:tc>
          <w:tcPr>
            <w:tcBorders>
              <w:right w:val="none"/>
            </w:tcBorders>
            <w:tcMar>
              <w:top w:type="dxa" w:w="80"/>
              <w:left w:type="dxa" w:w="120"/>
              <w:bottom w:type="dxa" w:w="80"/>
              <w:right w:type="dxa" w:w="120"/>
            </w:tcMar>
            <w:vAlign w:val="center"/>
          </w:tcPr>
          <w:p>
            <w:pPr>
              <w:pStyle w:val="MdTableCell"/>
            </w:pPr>
            <w:r>
              <w:t xml:space="preserve">Use integer tinybars internally and conversion tests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Unverified DeFi API</w:t>
            </w:r>
          </w:p>
        </w:tc>
        <w:tc>
          <w:tcPr>
            <w:tcMar>
              <w:top w:type="dxa" w:w="80"/>
              <w:left w:type="dxa" w:w="120"/>
              <w:bottom w:type="dxa" w:w="80"/>
              <w:right w:type="dxa" w:w="120"/>
            </w:tcMar>
            <w:vAlign w:val="center"/>
          </w:tcPr>
          <w:p>
            <w:pPr>
              <w:pStyle w:val="MdTableCell"/>
            </w:pPr>
            <w:r>
              <w:t xml:space="preserve">False live-data claim</w:t>
            </w:r>
          </w:p>
        </w:tc>
        <w:tc>
          <w:tcPr>
            <w:tcBorders>
              <w:right w:val="none"/>
            </w:tcBorders>
            <w:tcMar>
              <w:top w:type="dxa" w:w="80"/>
              <w:left w:type="dxa" w:w="120"/>
              <w:bottom w:type="dxa" w:w="80"/>
              <w:right w:type="dxa" w:w="120"/>
            </w:tcMar>
            <w:vAlign w:val="center"/>
          </w:tcPr>
          <w:p>
            <w:pPr>
              <w:pStyle w:val="MdTableCell"/>
            </w:pPr>
            <w:r>
              <w:t xml:space="preserve">Use adapters and label fallback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Insufficient testnet funds</w:t>
            </w:r>
          </w:p>
        </w:tc>
        <w:tc>
          <w:tcPr>
            <w:tcMar>
              <w:top w:type="dxa" w:w="80"/>
              <w:left w:type="dxa" w:w="120"/>
              <w:bottom w:type="dxa" w:w="80"/>
              <w:right w:type="dxa" w:w="120"/>
            </w:tcMar>
            <w:vAlign w:val="center"/>
          </w:tcPr>
          <w:p>
            <w:pPr>
              <w:pStyle w:val="MdTableCell"/>
            </w:pPr>
            <w:r>
              <w:t xml:space="preserve">Settlement fails</w:t>
            </w:r>
          </w:p>
        </w:tc>
        <w:tc>
          <w:tcPr>
            <w:tcBorders>
              <w:right w:val="none"/>
            </w:tcBorders>
            <w:tcMar>
              <w:top w:type="dxa" w:w="80"/>
              <w:left w:type="dxa" w:w="120"/>
              <w:bottom w:type="dxa" w:w="80"/>
              <w:right w:type="dxa" w:w="120"/>
            </w:tcMar>
            <w:vAlign w:val="center"/>
          </w:tcPr>
          <w:p>
            <w:pPr>
              <w:pStyle w:val="MdTableCell"/>
            </w:pPr>
            <w:r>
              <w:t xml:space="preserve">Fund separate buyer and service accounts early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Duplicate SDK installs</w:t>
            </w:r>
          </w:p>
        </w:tc>
        <w:tc>
          <w:tcPr>
            <w:tcMar>
              <w:top w:type="dxa" w:w="80"/>
              <w:left w:type="dxa" w:w="120"/>
              <w:bottom w:type="dxa" w:w="80"/>
              <w:right w:type="dxa" w:w="120"/>
            </w:tcMar>
            <w:vAlign w:val="center"/>
          </w:tcPr>
          <w:p>
            <w:pPr>
              <w:pStyle w:val="MdTableCell"/>
            </w:pPr>
            <w:r>
              <w:t xml:space="preserve">Runtime type errors</w:t>
            </w:r>
          </w:p>
        </w:tc>
        <w:tc>
          <w:tcPr>
            <w:tcBorders>
              <w:right w:val="none"/>
            </w:tcBorders>
            <w:tcMar>
              <w:top w:type="dxa" w:w="80"/>
              <w:left w:type="dxa" w:w="120"/>
              <w:bottom w:type="dxa" w:w="80"/>
              <w:right w:type="dxa" w:w="120"/>
            </w:tcMar>
            <w:vAlign w:val="center"/>
          </w:tcPr>
          <w:p>
            <w:pPr>
              <w:pStyle w:val="MdTableCell"/>
            </w:pPr>
            <w:r>
              <w:t xml:space="preserve">Follow </w:t>
            </w:r>
            <w:r>
              <w:rPr>
                <w:rStyle w:val="MdCode"/>
                <w:u w:val="single"/>
              </w:rPr>
              <w:t xml:space="preserve">@x402/hedera</w:t>
            </w:r>
            <w:r>
              <w:t xml:space="preserve"> re-export guidance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Private-key leak</w:t>
            </w:r>
          </w:p>
        </w:tc>
        <w:tc>
          <w:tcPr>
            <w:tcMar>
              <w:top w:type="dxa" w:w="80"/>
              <w:left w:type="dxa" w:w="120"/>
              <w:bottom w:type="dxa" w:w="80"/>
              <w:right w:type="dxa" w:w="120"/>
            </w:tcMar>
            <w:vAlign w:val="center"/>
          </w:tcPr>
          <w:p>
            <w:pPr>
              <w:pStyle w:val="MdTableCell"/>
            </w:pPr>
            <w:r>
              <w:t xml:space="preserve">Critical security incident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.env</w:t>
            </w:r>
            <w:r>
              <w:t xml:space="preserve">, </w:t>
            </w:r>
            <w:r>
              <w:rPr>
                <w:rStyle w:val="MdCode"/>
                <w:u w:val="single"/>
              </w:rPr>
              <w:t xml:space="preserve">.gitignore</w:t>
            </w:r>
            <w:r>
              <w:t xml:space="preserve">, server-side secrets, secret scan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Scope expansion</w:t>
            </w:r>
          </w:p>
        </w:tc>
        <w:tc>
          <w:tcPr>
            <w:tcMar>
              <w:top w:type="dxa" w:w="80"/>
              <w:left w:type="dxa" w:w="120"/>
              <w:bottom w:type="dxa" w:w="80"/>
              <w:right w:type="dxa" w:w="120"/>
            </w:tcMar>
            <w:vAlign w:val="center"/>
          </w:tcPr>
          <w:p>
            <w:pPr>
              <w:pStyle w:val="MdTableCell"/>
            </w:pPr>
            <w:r>
              <w:t xml:space="preserve">Incomplete demo</w:t>
            </w:r>
          </w:p>
        </w:tc>
        <w:tc>
          <w:tcPr>
            <w:tcBorders>
              <w:right w:val="none"/>
            </w:tcBorders>
            <w:tcMar>
              <w:top w:type="dxa" w:w="80"/>
              <w:left w:type="dxa" w:w="120"/>
              <w:bottom w:type="dxa" w:w="80"/>
              <w:right w:type="dxa" w:w="120"/>
            </w:tcMar>
            <w:vAlign w:val="center"/>
          </w:tcPr>
          <w:p>
            <w:pPr>
              <w:pStyle w:val="MdTableCell"/>
            </w:pPr>
            <w:r>
              <w:t xml:space="preserve">Stop after each acceptance gate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hallucination</w:t>
            </w:r>
          </w:p>
        </w:tc>
        <w:tc>
          <w:tcPr>
            <w:tcMar>
              <w:top w:type="dxa" w:w="80"/>
              <w:left w:type="dxa" w:w="120"/>
              <w:bottom w:type="dxa" w:w="80"/>
              <w:right w:type="dxa" w:w="120"/>
            </w:tcMar>
            <w:vAlign w:val="center"/>
          </w:tcPr>
          <w:p>
            <w:pPr>
              <w:pStyle w:val="MdTableCell"/>
            </w:pPr>
            <w:r>
              <w:t xml:space="preserve">Unsafe recommendation</w:t>
            </w:r>
          </w:p>
        </w:tc>
        <w:tc>
          <w:tcPr>
            <w:tcBorders>
              <w:right w:val="none"/>
            </w:tcBorders>
            <w:tcMar>
              <w:top w:type="dxa" w:w="80"/>
              <w:left w:type="dxa" w:w="120"/>
              <w:bottom w:type="dxa" w:w="80"/>
              <w:right w:type="dxa" w:w="120"/>
            </w:tcMar>
            <w:vAlign w:val="center"/>
          </w:tcPr>
          <w:p>
            <w:pPr>
              <w:pStyle w:val="MdTableCell"/>
            </w:pPr>
            <w:r>
              <w:t xml:space="preserve">Deterministic calculations, constrained prompt, disclaimer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Contract vulnerability</w:t>
            </w:r>
          </w:p>
        </w:tc>
        <w:tc>
          <w:tcPr>
            <w:tcBorders>
              <w:bottom w:val="single" w:color="E1E4E8" w:sz="4"/>
            </w:tcBorders>
            <w:tcMar>
              <w:top w:type="dxa" w:w="80"/>
              <w:left w:type="dxa" w:w="120"/>
              <w:bottom w:type="dxa" w:w="80"/>
              <w:right w:type="dxa" w:w="120"/>
            </w:tcMar>
            <w:vAlign w:val="center"/>
          </w:tcPr>
          <w:p>
            <w:pPr>
              <w:pStyle w:val="MdTableCell"/>
            </w:pPr>
            <w:r>
              <w:t xml:space="preserve">Fund loss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Defer contracts and require security tests</w:t>
            </w:r>
          </w:p>
        </w:tc>
      </w:tr>
    </w:tbl>
    <w:p>
      <w:pPr>
        <w:pStyle w:val="MdHr"/>
        <w:pBdr>
          <w:bottom w:val="single" w:color="auto" w:sz="6" w:space="1"/>
        </w:pBdr>
      </w:pPr>
    </w:p>
    <w:p>
      <w:pPr>
        <w:pStyle w:val="MdSpace"/>
        <w:spacing w:before="0" w:after="60"/>
      </w:pPr>
    </w:p>
    <w:p>
      <w:pPr>
        <w:pStyle w:val="Heading2"/>
        <w:pStyle w:val="MdHeading2"/>
      </w:pPr>
      <w:r>
        <w:t xml:space="preserve">30. Final Acceptance Checklist</w:t>
      </w:r>
    </w:p>
    <w:p>
      <w:pPr>
        <w:pStyle w:val="Heading3"/>
        <w:pStyle w:val="MdHeading3"/>
      </w:pPr>
      <w:r>
        <w:t xml:space="preserve">Architecture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Project identity is consistently </w:t>
      </w:r>
      <w:r>
        <w:rPr>
          <w:rStyle w:val="MdCode"/>
          <w:u w:val="single"/>
        </w:rPr>
        <w:t xml:space="preserve">Strata402</w:t>
      </w:r>
      <w:r>
        <w:t xml:space="preserve"> and </w:t>
      </w:r>
      <w:r>
        <w:rPr>
          <w:rStyle w:val="MdCode"/>
          <w:u w:val="single"/>
        </w:rPr>
        <w:t xml:space="preserve">strata402</w:t>
      </w:r>
      <w:r>
        <w:t xml:space="preserv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The target monorepo contains </w:t>
      </w:r>
      <w:r>
        <w:rPr>
          <w:rStyle w:val="MdCode"/>
          <w:u w:val="single"/>
        </w:rPr>
        <w:t xml:space="preserve">apps/consuming-agent</w:t>
      </w:r>
      <w:r>
        <w:t xml:space="preserv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The target monorepo contains </w:t>
      </w:r>
      <w:r>
        <w:rPr>
          <w:rStyle w:val="MdCode"/>
          <w:u w:val="single"/>
        </w:rPr>
        <w:t xml:space="preserve">contracts/</w:t>
      </w:r>
      <w:r>
        <w:t xml:space="preserve"> without making it a Phase 1 dependency.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The core architecture has one gateway, one AI engine, and one consuming agent.</w:t>
      </w:r>
    </w:p>
    <w:p>
      <w:pPr>
        <w:pStyle w:val="MdSpace"/>
        <w:spacing w:before="0" w:after="60"/>
      </w:pPr>
    </w:p>
    <w:p>
      <w:pPr>
        <w:pStyle w:val="Heading3"/>
        <w:pStyle w:val="MdHeading3"/>
      </w:pPr>
      <w:r>
        <w:t xml:space="preserve">Protocol</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x402 v2 is the canonical protocol version.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Hedera </w:t>
      </w:r>
      <w:r>
        <w:rPr>
          <w:rStyle w:val="MdCode"/>
          <w:u w:val="single"/>
        </w:rPr>
        <w:t xml:space="preserve">exact</w:t>
      </w:r>
      <w:r>
        <w:t xml:space="preserve"> is the payment scheme.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HBAR uses asset </w:t>
      </w:r>
      <w:r>
        <w:rPr>
          <w:rStyle w:val="MdCode"/>
          <w:u w:val="single"/>
        </w:rPr>
        <w:t xml:space="preserve">0.0.0</w:t>
      </w:r>
      <w:r>
        <w:t xml:space="preserv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HBAR protocol amounts use tinybars.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Code"/>
          <w:u w:val="single"/>
        </w:rPr>
        <w:t xml:space="preserve">PAYMENT-REQUIRED</w:t>
      </w:r>
      <w:r>
        <w:t xml:space="preserve">, </w:t>
      </w:r>
      <w:r>
        <w:rPr>
          <w:rStyle w:val="MdCode"/>
          <w:u w:val="single"/>
        </w:rPr>
        <w:t xml:space="preserve">PAYMENT-SIGNATURE</w:t>
      </w:r>
      <w:r>
        <w:t xml:space="preserve">, and </w:t>
      </w:r>
      <w:r>
        <w:rPr>
          <w:rStyle w:val="MdCode"/>
          <w:u w:val="single"/>
        </w:rPr>
        <w:t xml:space="preserve">PAYMENT-RESPONSE</w:t>
      </w:r>
      <w:r>
        <w:t xml:space="preserve"> are treated as the canonical v2 HTTP headers.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Legacy header behavior is not hardcoded without verification.</w:t>
      </w:r>
    </w:p>
    <w:p>
      <w:pPr>
        <w:pStyle w:val="MdSpace"/>
        <w:spacing w:before="0" w:after="60"/>
      </w:pPr>
    </w:p>
    <w:p>
      <w:pPr>
        <w:pStyle w:val="Heading3"/>
        <w:pStyle w:val="MdHeading3"/>
      </w:pPr>
      <w:r>
        <w:t xml:space="preserve">Qualification</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The service is x402-gated.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Blocky402 is used for verification and settlement.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The consuming agent is independent from the frontend.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 real Hedera testnet paid request succeeds end-to-end.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A public GitHub repository and README are ready.</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The demo is five minutes or less.</w:t>
      </w:r>
    </w:p>
    <w:p>
      <w:pPr>
        <w:pStyle w:val="MdSpace"/>
        <w:spacing w:before="0" w:after="60"/>
      </w:pPr>
    </w:p>
    <w:p>
      <w:pPr>
        <w:pStyle w:val="Heading3"/>
        <w:pStyle w:val="MdHeading3"/>
      </w:pPr>
      <w:r>
        <w:t xml:space="preserve">Phase 1 gate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Root repository created as </w:t>
      </w:r>
      <w:r>
        <w:rPr>
          <w:rStyle w:val="MdCode"/>
          <w:u w:val="single"/>
        </w:rPr>
        <w:t xml:space="preserve">strata402/</w:t>
      </w:r>
      <w:r>
        <w:t xml:space="preserv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Code"/>
          <w:u w:val="single"/>
        </w:rPr>
        <w:t xml:space="preserve">package.json</w:t>
      </w:r>
      <w:r>
        <w:t xml:space="preserve"> created.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Code"/>
          <w:u w:val="single"/>
        </w:rPr>
        <w:t xml:space="preserve">bunfig.toml</w:t>
      </w:r>
      <w:r>
        <w:t xml:space="preserve"> created.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Initial workspace directories created.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Code"/>
          <w:u w:val="single"/>
        </w:rPr>
        <w:t xml:space="preserve">.gitignore</w:t>
      </w:r>
      <w:r>
        <w:t xml:space="preserve"> created.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Safe </w:t>
      </w:r>
      <w:r>
        <w:rPr>
          <w:rStyle w:val="MdCode"/>
          <w:u w:val="single"/>
        </w:rPr>
        <w:t xml:space="preserve">.env.example</w:t>
      </w:r>
      <w:r>
        <w:t xml:space="preserve"> skeleton created.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Minimal README created.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Bun and Node versions verified.</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rPr>
          <w:rStyle w:val="MdCode"/>
          <w:u w:val="single"/>
        </w:rPr>
        <w:t xml:space="preserve">@x402/hedera</w:t>
      </w:r>
      <w:r>
        <w:t xml:space="preserve"> publish status checked at execution time.</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Basic workspace validation test passes.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No production x402, AI, contract, or payment code written yet.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Work stops for explicit approval before Phase 2.</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Hr"/>
        <w:pBdr>
          <w:bottom w:val="single" w:color="auto" w:sz="6" w:space="1"/>
        </w:pBdr>
      </w:pPr>
    </w:p>
    <w:p>
      <w:pPr>
        <w:pStyle w:val="MdSpace"/>
        <w:spacing w:before="0" w:after="60"/>
      </w:pPr>
    </w:p>
    <w:p>
      <w:pPr>
        <w:pStyle w:val="MdParagraph"/>
      </w:pPr>
      <w:r>
        <w:rPr>
          <w:rStyle w:val="MdStrong"/>
          <w:b/>
          <w:bCs/>
        </w:rPr>
        <w:t xml:space="preserve">Blueprint status:</w:t>
      </w:r>
      <w:r>
        <w:t xml:space="preserve"> Approved for review.</w:t>
      </w:r>
      <w:r>
        <w:rPr>
          <w:rStyle w:val="MdBr"/>
        </w:rPr>
        <w:br/>
        <w:t xml:space="preserve"/>
      </w:r>
      <w:r>
        <w:rPr>
          <w:rStyle w:val="MdStrong"/>
          <w:b/>
          <w:bCs/>
        </w:rPr>
        <w:t xml:space="preserve">Next permitted action:</w:t>
      </w:r>
      <w:r>
        <w:t xml:space="preserve"> Execute </w:t>
      </w:r>
      <w:r>
        <w:rPr>
          <w:rStyle w:val="MdStrong"/>
          <w:b/>
          <w:bCs/>
        </w:rPr>
        <w:t xml:space="preserve">Phase 1 only</w:t>
      </w:r>
      <w:r>
        <w:t xml:space="preserve"> after explicit approval.</w:t>
      </w:r>
      <w:r>
        <w:rPr>
          <w:rStyle w:val="MdBr"/>
        </w:rPr>
        <w:br/>
        <w:t xml:space="preserve"/>
      </w:r>
      <w:r>
        <w:rPr>
          <w:rStyle w:val="MdStrong"/>
          <w:b/>
          <w:bCs/>
        </w:rPr>
        <w:t xml:space="preserve">Current state:</w:t>
      </w:r>
      <w:r>
        <w:t xml:space="preserve"> No project files or production code have been created by this blueprint.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2026-09-09T23:49:16.982Z</dcterms:created>
  <dcterms:modified xsi:type="dcterms:W3CDTF">2026-09-09T23:49:16.982Z</dcterms:modified>
</cp:coreProperties>
</file>

<file path=docProps/custom.xml><?xml version="1.0" encoding="utf-8"?>
<Properties xmlns="http://schemas.openxmlformats.org/officeDocument/2006/custom-properties" xmlns:vt="http://schemas.openxmlformats.org/officeDocument/2006/docPropsVTypes"/>
</file>