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b/>
          <w:color w:val="1F738F"/>
          <w:sz w:val="32"/>
        </w:rPr>
        <w:t>OMNITRUTH</w:t>
      </w:r>
    </w:p>
    <w:p>
      <w:pPr>
        <w:spacing w:before="360"/>
        <w:jc w:val="center"/>
      </w:pPr>
      <w:r>
        <w:rPr>
          <w:rFonts w:ascii="Aptos Display" w:hAnsi="Aptos Display"/>
          <w:b/>
          <w:color w:val="17365D"/>
          <w:sz w:val="60"/>
        </w:rPr>
        <w:t>Target Microservices</w:t>
        <w:br/>
        <w:t>Architecture &amp; Design Patterns</w:t>
      </w:r>
    </w:p>
    <w:p>
      <w:pPr>
        <w:spacing w:before="300"/>
        <w:jc w:val="center"/>
      </w:pPr>
      <w:r>
        <w:rPr>
          <w:color w:val="536C84"/>
          <w:sz w:val="22"/>
        </w:rPr>
        <w:t>Service boundaries • Data ownership • API contracts • Design patterns • Deployment model</w:t>
      </w:r>
    </w:p>
    <w:p>
      <w:pPr>
        <w:spacing w:before="1600"/>
        <w:jc w:val="center"/>
      </w:pPr>
      <w:r>
        <w:rPr>
          <w:i/>
          <w:sz w:val="20"/>
        </w:rPr>
        <w:t>Architecture proposal based on the supplied OmniTruth technical documentation</w:t>
      </w:r>
    </w:p>
    <w:p>
      <w:pPr>
        <w:jc w:val="center"/>
      </w:pPr>
      <w:r>
        <w:rPr>
          <w:color w:val="6E7882"/>
          <w:sz w:val="18"/>
        </w:rPr>
        <w:t>Version 1.0  |  31 October 2026</w:t>
      </w:r>
    </w:p>
    <w:p>
      <w:r>
        <w:br w:type="page"/>
      </w:r>
    </w:p>
    <w:p>
      <w:pPr>
        <w:pStyle w:val="Heading1"/>
        <w:keepNext/>
      </w:pPr>
      <w:r>
        <w:t>1. Executive recommendation</w:t>
      </w:r>
    </w:p>
    <w:p>
      <w:pPr>
        <w:spacing w:after="100"/>
      </w:pPr>
      <w:r>
        <w:t>For the stricter service-by-business-capability architecture requested, this proposal decomposes OmniTruth into 14 independently deployable application microservices. Each service owns one bounded context, its data and its release lifecycle. The original specifications describe a single Java MCP Engine and a Spring Boot Admin REST API; the 14-service model below is a proposed decomposition of those responsibilities, not a claim that the original documents already require 14 services.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504"/>
            <w:vAlign w:val="center"/>
            <w:tcMar>
              <w:top w:w="80" w:type="dxa"/>
              <w:start w:w="100" w:type="dxa"/>
              <w:bottom w:w="80" w:type="dxa"/>
              <w:end w:w="100" w:type="dxa"/>
            </w:tcMar>
            <w:shd w:fill="17365D"/>
          </w:tcPr>
          <w:p>
            <w:pPr>
              <w:spacing w:after="0" w:before="0"/>
            </w:pPr>
            <w:r/>
            <w:r>
              <w:rPr>
                <w:rFonts w:ascii="Aptos" w:hAnsi="Aptos"/>
                <w:b/>
                <w:color w:val="FFFFFF"/>
                <w:sz w:val="16"/>
              </w:rPr>
              <w:t>#</w:t>
            </w:r>
          </w:p>
        </w:tc>
        <w:tc>
          <w:tcPr>
            <w:tcW w:type="dxa" w:w="3240"/>
            <w:vAlign w:val="center"/>
            <w:tcMar>
              <w:top w:w="80" w:type="dxa"/>
              <w:start w:w="100" w:type="dxa"/>
              <w:bottom w:w="80" w:type="dxa"/>
              <w:end w:w="100" w:type="dxa"/>
            </w:tcMar>
            <w:shd w:fill="17365D"/>
          </w:tcPr>
          <w:p>
            <w:pPr>
              <w:spacing w:after="0" w:before="0"/>
            </w:pPr>
            <w:r/>
            <w:r>
              <w:rPr>
                <w:rFonts w:ascii="Aptos" w:hAnsi="Aptos"/>
                <w:b/>
                <w:color w:val="FFFFFF"/>
                <w:sz w:val="16"/>
              </w:rPr>
              <w:t>Microservice</w:t>
            </w:r>
          </w:p>
        </w:tc>
        <w:tc>
          <w:tcPr>
            <w:tcW w:type="dxa" w:w="6480"/>
            <w:vAlign w:val="center"/>
            <w:tcMar>
              <w:top w:w="80" w:type="dxa"/>
              <w:start w:w="100" w:type="dxa"/>
              <w:bottom w:w="80" w:type="dxa"/>
              <w:end w:w="100" w:type="dxa"/>
            </w:tcMar>
            <w:shd w:fill="17365D"/>
          </w:tcPr>
          <w:p>
            <w:pPr>
              <w:spacing w:after="0" w:before="0"/>
            </w:pPr>
            <w:r/>
            <w:r>
              <w:rPr>
                <w:rFonts w:ascii="Aptos" w:hAnsi="Aptos"/>
                <w:b/>
                <w:color w:val="FFFFFF"/>
                <w:sz w:val="16"/>
              </w:rPr>
              <w:t>Primary business capability</w:t>
            </w:r>
          </w:p>
        </w:tc>
      </w:tr>
      <w:tr>
        <w:trPr>
          <w:cantSplit/>
        </w:trPr>
        <w:tc>
          <w:tcPr>
            <w:tcW w:type="dxa" w:w="504"/>
            <w:vAlign w:val="center"/>
            <w:tcMar>
              <w:top w:w="80" w:type="dxa"/>
              <w:start w:w="100" w:type="dxa"/>
              <w:bottom w:w="80" w:type="dxa"/>
              <w:end w:w="100" w:type="dxa"/>
            </w:tcMar>
            <w:shd w:fill="F3F6F9"/>
          </w:tcPr>
          <w:p>
            <w:pPr>
              <w:spacing w:after="0" w:before="0"/>
            </w:pPr>
            <w:r/>
            <w:r>
              <w:rPr>
                <w:rFonts w:ascii="Aptos" w:hAnsi="Aptos"/>
                <w:b w:val="0"/>
                <w:sz w:val="16"/>
              </w:rPr>
              <w:t>01</w:t>
            </w:r>
          </w:p>
        </w:tc>
        <w:tc>
          <w:tcPr>
            <w:tcW w:type="dxa" w:w="3240"/>
            <w:vAlign w:val="center"/>
            <w:tcMar>
              <w:top w:w="80" w:type="dxa"/>
              <w:start w:w="100" w:type="dxa"/>
              <w:bottom w:w="80" w:type="dxa"/>
              <w:end w:w="100" w:type="dxa"/>
            </w:tcMar>
            <w:shd w:fill="F3F6F9"/>
          </w:tcPr>
          <w:p>
            <w:pPr>
              <w:spacing w:after="0" w:before="0"/>
            </w:pPr>
            <w:r/>
            <w:r>
              <w:rPr>
                <w:rFonts w:ascii="Aptos" w:hAnsi="Aptos"/>
                <w:b w:val="0"/>
                <w:sz w:val="16"/>
              </w:rPr>
              <w:t>Tenant Management</w:t>
            </w:r>
          </w:p>
        </w:tc>
        <w:tc>
          <w:tcPr>
            <w:tcW w:type="dxa" w:w="6480"/>
            <w:vAlign w:val="center"/>
            <w:tcMar>
              <w:top w:w="80" w:type="dxa"/>
              <w:start w:w="100" w:type="dxa"/>
              <w:bottom w:w="80" w:type="dxa"/>
              <w:end w:w="100" w:type="dxa"/>
            </w:tcMar>
            <w:shd w:fill="F3F6F9"/>
          </w:tcPr>
          <w:p>
            <w:pPr>
              <w:spacing w:after="0" w:before="0"/>
            </w:pPr>
            <w:r/>
            <w:r>
              <w:rPr>
                <w:rFonts w:ascii="Aptos" w:hAnsi="Aptos"/>
                <w:b w:val="0"/>
                <w:sz w:val="16"/>
              </w:rPr>
              <w:t>Enterprise tenant lifecycle and deployment profile</w:t>
            </w:r>
          </w:p>
        </w:tc>
      </w:tr>
      <w:tr>
        <w:trPr>
          <w:cantSplit/>
        </w:trPr>
        <w:tc>
          <w:tcPr>
            <w:tcW w:type="dxa" w:w="504"/>
            <w:vAlign w:val="center"/>
            <w:tcMar>
              <w:top w:w="80" w:type="dxa"/>
              <w:start w:w="100" w:type="dxa"/>
              <w:bottom w:w="80" w:type="dxa"/>
              <w:end w:w="100" w:type="dxa"/>
            </w:tcMar>
          </w:tcPr>
          <w:p>
            <w:pPr>
              <w:spacing w:after="0" w:before="0"/>
            </w:pPr>
            <w:r/>
            <w:r>
              <w:rPr>
                <w:rFonts w:ascii="Aptos" w:hAnsi="Aptos"/>
                <w:b w:val="0"/>
                <w:sz w:val="16"/>
              </w:rPr>
              <w:t>02</w:t>
            </w:r>
          </w:p>
        </w:tc>
        <w:tc>
          <w:tcPr>
            <w:tcW w:type="dxa" w:w="3240"/>
            <w:vAlign w:val="center"/>
            <w:tcMar>
              <w:top w:w="80" w:type="dxa"/>
              <w:start w:w="100" w:type="dxa"/>
              <w:bottom w:w="80" w:type="dxa"/>
              <w:end w:w="100" w:type="dxa"/>
            </w:tcMar>
          </w:tcPr>
          <w:p>
            <w:pPr>
              <w:spacing w:after="0" w:before="0"/>
            </w:pPr>
            <w:r/>
            <w:r>
              <w:rPr>
                <w:rFonts w:ascii="Aptos" w:hAnsi="Aptos"/>
                <w:b w:val="0"/>
                <w:sz w:val="16"/>
              </w:rPr>
              <w:t>User Management</w:t>
            </w:r>
          </w:p>
        </w:tc>
        <w:tc>
          <w:tcPr>
            <w:tcW w:type="dxa" w:w="6480"/>
            <w:vAlign w:val="center"/>
            <w:tcMar>
              <w:top w:w="80" w:type="dxa"/>
              <w:start w:w="100" w:type="dxa"/>
              <w:bottom w:w="80" w:type="dxa"/>
              <w:end w:w="100" w:type="dxa"/>
            </w:tcMar>
          </w:tcPr>
          <w:p>
            <w:pPr>
              <w:spacing w:after="0" w:before="0"/>
            </w:pPr>
            <w:r/>
            <w:r>
              <w:rPr>
                <w:rFonts w:ascii="Aptos" w:hAnsi="Aptos"/>
                <w:b w:val="0"/>
                <w:sz w:val="16"/>
              </w:rPr>
              <w:t>User profiles, tenant memberships and identity mapping</w:t>
            </w:r>
          </w:p>
        </w:tc>
      </w:tr>
      <w:tr>
        <w:trPr>
          <w:cantSplit/>
        </w:trPr>
        <w:tc>
          <w:tcPr>
            <w:tcW w:type="dxa" w:w="504"/>
            <w:vAlign w:val="center"/>
            <w:tcMar>
              <w:top w:w="80" w:type="dxa"/>
              <w:start w:w="100" w:type="dxa"/>
              <w:bottom w:w="80" w:type="dxa"/>
              <w:end w:w="100" w:type="dxa"/>
            </w:tcMar>
            <w:shd w:fill="F3F6F9"/>
          </w:tcPr>
          <w:p>
            <w:pPr>
              <w:spacing w:after="0" w:before="0"/>
            </w:pPr>
            <w:r/>
            <w:r>
              <w:rPr>
                <w:rFonts w:ascii="Aptos" w:hAnsi="Aptos"/>
                <w:b w:val="0"/>
                <w:sz w:val="16"/>
              </w:rPr>
              <w:t>03</w:t>
            </w:r>
          </w:p>
        </w:tc>
        <w:tc>
          <w:tcPr>
            <w:tcW w:type="dxa" w:w="3240"/>
            <w:vAlign w:val="center"/>
            <w:tcMar>
              <w:top w:w="80" w:type="dxa"/>
              <w:start w:w="100" w:type="dxa"/>
              <w:bottom w:w="80" w:type="dxa"/>
              <w:end w:w="100" w:type="dxa"/>
            </w:tcMar>
            <w:shd w:fill="F3F6F9"/>
          </w:tcPr>
          <w:p>
            <w:pPr>
              <w:spacing w:after="0" w:before="0"/>
            </w:pPr>
            <w:r/>
            <w:r>
              <w:rPr>
                <w:rFonts w:ascii="Aptos" w:hAnsi="Aptos"/>
                <w:b w:val="0"/>
                <w:sz w:val="16"/>
              </w:rPr>
              <w:t>Access Policy</w:t>
            </w:r>
          </w:p>
        </w:tc>
        <w:tc>
          <w:tcPr>
            <w:tcW w:type="dxa" w:w="6480"/>
            <w:vAlign w:val="center"/>
            <w:tcMar>
              <w:top w:w="80" w:type="dxa"/>
              <w:start w:w="100" w:type="dxa"/>
              <w:bottom w:w="80" w:type="dxa"/>
              <w:end w:w="100" w:type="dxa"/>
            </w:tcMar>
            <w:shd w:fill="F3F6F9"/>
          </w:tcPr>
          <w:p>
            <w:pPr>
              <w:spacing w:after="0" w:before="0"/>
            </w:pPr>
            <w:r/>
            <w:r>
              <w:rPr>
                <w:rFonts w:ascii="Aptos" w:hAnsi="Aptos"/>
                <w:b w:val="0"/>
                <w:sz w:val="16"/>
              </w:rPr>
              <w:t>Roles, tool/resource permissions and authorization decisions</w:t>
            </w:r>
          </w:p>
        </w:tc>
      </w:tr>
      <w:tr>
        <w:trPr>
          <w:cantSplit/>
        </w:trPr>
        <w:tc>
          <w:tcPr>
            <w:tcW w:type="dxa" w:w="504"/>
            <w:vAlign w:val="center"/>
            <w:tcMar>
              <w:top w:w="80" w:type="dxa"/>
              <w:start w:w="100" w:type="dxa"/>
              <w:bottom w:w="80" w:type="dxa"/>
              <w:end w:w="100" w:type="dxa"/>
            </w:tcMar>
          </w:tcPr>
          <w:p>
            <w:pPr>
              <w:spacing w:after="0" w:before="0"/>
            </w:pPr>
            <w:r/>
            <w:r>
              <w:rPr>
                <w:rFonts w:ascii="Aptos" w:hAnsi="Aptos"/>
                <w:b w:val="0"/>
                <w:sz w:val="16"/>
              </w:rPr>
              <w:t>04</w:t>
            </w:r>
          </w:p>
        </w:tc>
        <w:tc>
          <w:tcPr>
            <w:tcW w:type="dxa" w:w="3240"/>
            <w:vAlign w:val="center"/>
            <w:tcMar>
              <w:top w:w="80" w:type="dxa"/>
              <w:start w:w="100" w:type="dxa"/>
              <w:bottom w:w="80" w:type="dxa"/>
              <w:end w:w="100" w:type="dxa"/>
            </w:tcMar>
          </w:tcPr>
          <w:p>
            <w:pPr>
              <w:spacing w:after="0" w:before="0"/>
            </w:pPr>
            <w:r/>
            <w:r>
              <w:rPr>
                <w:rFonts w:ascii="Aptos" w:hAnsi="Aptos"/>
                <w:b w:val="0"/>
                <w:sz w:val="16"/>
              </w:rPr>
              <w:t>Blueprint Management</w:t>
            </w:r>
          </w:p>
        </w:tc>
        <w:tc>
          <w:tcPr>
            <w:tcW w:type="dxa" w:w="6480"/>
            <w:vAlign w:val="center"/>
            <w:tcMar>
              <w:top w:w="80" w:type="dxa"/>
              <w:start w:w="100" w:type="dxa"/>
              <w:bottom w:w="80" w:type="dxa"/>
              <w:end w:w="100" w:type="dxa"/>
            </w:tcMar>
          </w:tcPr>
          <w:p>
            <w:pPr>
              <w:spacing w:after="0" w:before="0"/>
            </w:pPr>
            <w:r/>
            <w:r>
              <w:rPr>
                <w:rFonts w:ascii="Aptos" w:hAnsi="Aptos"/>
                <w:b w:val="0"/>
                <w:sz w:val="16"/>
              </w:rPr>
              <w:t>Versioned JSON execution recipes and rule definitions</w:t>
            </w:r>
          </w:p>
        </w:tc>
      </w:tr>
      <w:tr>
        <w:trPr>
          <w:cantSplit/>
        </w:trPr>
        <w:tc>
          <w:tcPr>
            <w:tcW w:type="dxa" w:w="504"/>
            <w:vAlign w:val="center"/>
            <w:tcMar>
              <w:top w:w="80" w:type="dxa"/>
              <w:start w:w="100" w:type="dxa"/>
              <w:bottom w:w="80" w:type="dxa"/>
              <w:end w:w="100" w:type="dxa"/>
            </w:tcMar>
            <w:shd w:fill="F3F6F9"/>
          </w:tcPr>
          <w:p>
            <w:pPr>
              <w:spacing w:after="0" w:before="0"/>
            </w:pPr>
            <w:r/>
            <w:r>
              <w:rPr>
                <w:rFonts w:ascii="Aptos" w:hAnsi="Aptos"/>
                <w:b w:val="0"/>
                <w:sz w:val="16"/>
              </w:rPr>
              <w:t>05</w:t>
            </w:r>
          </w:p>
        </w:tc>
        <w:tc>
          <w:tcPr>
            <w:tcW w:type="dxa" w:w="3240"/>
            <w:vAlign w:val="center"/>
            <w:tcMar>
              <w:top w:w="80" w:type="dxa"/>
              <w:start w:w="100" w:type="dxa"/>
              <w:bottom w:w="80" w:type="dxa"/>
              <w:end w:w="100" w:type="dxa"/>
            </w:tcMar>
            <w:shd w:fill="F3F6F9"/>
          </w:tcPr>
          <w:p>
            <w:pPr>
              <w:spacing w:after="0" w:before="0"/>
            </w:pPr>
            <w:r/>
            <w:r>
              <w:rPr>
                <w:rFonts w:ascii="Aptos" w:hAnsi="Aptos"/>
                <w:b w:val="0"/>
                <w:sz w:val="16"/>
              </w:rPr>
              <w:t>Tool Catalog &amp; Publishing</w:t>
            </w:r>
          </w:p>
        </w:tc>
        <w:tc>
          <w:tcPr>
            <w:tcW w:type="dxa" w:w="6480"/>
            <w:vAlign w:val="center"/>
            <w:tcMar>
              <w:top w:w="80" w:type="dxa"/>
              <w:start w:w="100" w:type="dxa"/>
              <w:bottom w:w="80" w:type="dxa"/>
              <w:end w:w="100" w:type="dxa"/>
            </w:tcMar>
            <w:shd w:fill="F3F6F9"/>
          </w:tcPr>
          <w:p>
            <w:pPr>
              <w:spacing w:after="0" w:before="0"/>
            </w:pPr>
            <w:r/>
            <w:r>
              <w:rPr>
                <w:rFonts w:ascii="Aptos" w:hAnsi="Aptos"/>
                <w:b w:val="0"/>
                <w:sz w:val="16"/>
              </w:rPr>
              <w:t>AI-visible MCP tool metadata and publication lifecycle</w:t>
            </w:r>
          </w:p>
        </w:tc>
      </w:tr>
      <w:tr>
        <w:trPr>
          <w:cantSplit/>
        </w:trPr>
        <w:tc>
          <w:tcPr>
            <w:tcW w:type="dxa" w:w="504"/>
            <w:vAlign w:val="center"/>
            <w:tcMar>
              <w:top w:w="80" w:type="dxa"/>
              <w:start w:w="100" w:type="dxa"/>
              <w:bottom w:w="80" w:type="dxa"/>
              <w:end w:w="100" w:type="dxa"/>
            </w:tcMar>
          </w:tcPr>
          <w:p>
            <w:pPr>
              <w:spacing w:after="0" w:before="0"/>
            </w:pPr>
            <w:r/>
            <w:r>
              <w:rPr>
                <w:rFonts w:ascii="Aptos" w:hAnsi="Aptos"/>
                <w:b w:val="0"/>
                <w:sz w:val="16"/>
              </w:rPr>
              <w:t>06</w:t>
            </w:r>
          </w:p>
        </w:tc>
        <w:tc>
          <w:tcPr>
            <w:tcW w:type="dxa" w:w="3240"/>
            <w:vAlign w:val="center"/>
            <w:tcMar>
              <w:top w:w="80" w:type="dxa"/>
              <w:start w:w="100" w:type="dxa"/>
              <w:bottom w:w="80" w:type="dxa"/>
              <w:end w:w="100" w:type="dxa"/>
            </w:tcMar>
          </w:tcPr>
          <w:p>
            <w:pPr>
              <w:spacing w:after="0" w:before="0"/>
            </w:pPr>
            <w:r/>
            <w:r>
              <w:rPr>
                <w:rFonts w:ascii="Aptos" w:hAnsi="Aptos"/>
                <w:b w:val="0"/>
                <w:sz w:val="16"/>
              </w:rPr>
              <w:t>Connector Management</w:t>
            </w:r>
          </w:p>
        </w:tc>
        <w:tc>
          <w:tcPr>
            <w:tcW w:type="dxa" w:w="6480"/>
            <w:vAlign w:val="center"/>
            <w:tcMar>
              <w:top w:w="80" w:type="dxa"/>
              <w:start w:w="100" w:type="dxa"/>
              <w:bottom w:w="80" w:type="dxa"/>
              <w:end w:w="100" w:type="dxa"/>
            </w:tcMar>
          </w:tcPr>
          <w:p>
            <w:pPr>
              <w:spacing w:after="0" w:before="0"/>
            </w:pPr>
            <w:r/>
            <w:r>
              <w:rPr>
                <w:rFonts w:ascii="Aptos" w:hAnsi="Aptos"/>
                <w:b w:val="0"/>
                <w:sz w:val="16"/>
              </w:rPr>
              <w:t>Connector metadata, endpoint policy and secret references</w:t>
            </w:r>
          </w:p>
        </w:tc>
      </w:tr>
      <w:tr>
        <w:trPr>
          <w:cantSplit/>
        </w:trPr>
        <w:tc>
          <w:tcPr>
            <w:tcW w:type="dxa" w:w="504"/>
            <w:vAlign w:val="center"/>
            <w:tcMar>
              <w:top w:w="80" w:type="dxa"/>
              <w:start w:w="100" w:type="dxa"/>
              <w:bottom w:w="80" w:type="dxa"/>
              <w:end w:w="100" w:type="dxa"/>
            </w:tcMar>
            <w:shd w:fill="F3F6F9"/>
          </w:tcPr>
          <w:p>
            <w:pPr>
              <w:spacing w:after="0" w:before="0"/>
            </w:pPr>
            <w:r/>
            <w:r>
              <w:rPr>
                <w:rFonts w:ascii="Aptos" w:hAnsi="Aptos"/>
                <w:b w:val="0"/>
                <w:sz w:val="16"/>
              </w:rPr>
              <w:t>07</w:t>
            </w:r>
          </w:p>
        </w:tc>
        <w:tc>
          <w:tcPr>
            <w:tcW w:type="dxa" w:w="3240"/>
            <w:vAlign w:val="center"/>
            <w:tcMar>
              <w:top w:w="80" w:type="dxa"/>
              <w:start w:w="100" w:type="dxa"/>
              <w:bottom w:w="80" w:type="dxa"/>
              <w:end w:w="100" w:type="dxa"/>
            </w:tcMar>
            <w:shd w:fill="F3F6F9"/>
          </w:tcPr>
          <w:p>
            <w:pPr>
              <w:spacing w:after="0" w:before="0"/>
            </w:pPr>
            <w:r/>
            <w:r>
              <w:rPr>
                <w:rFonts w:ascii="Aptos" w:hAnsi="Aptos"/>
                <w:b w:val="0"/>
                <w:sz w:val="16"/>
              </w:rPr>
              <w:t>MCP Protocol Gateway</w:t>
            </w:r>
          </w:p>
        </w:tc>
        <w:tc>
          <w:tcPr>
            <w:tcW w:type="dxa" w:w="6480"/>
            <w:vAlign w:val="center"/>
            <w:tcMar>
              <w:top w:w="80" w:type="dxa"/>
              <w:start w:w="100" w:type="dxa"/>
              <w:bottom w:w="80" w:type="dxa"/>
              <w:end w:w="100" w:type="dxa"/>
            </w:tcMar>
            <w:shd w:fill="F3F6F9"/>
          </w:tcPr>
          <w:p>
            <w:pPr>
              <w:spacing w:after="0" w:before="0"/>
            </w:pPr>
            <w:r/>
            <w:r>
              <w:rPr>
                <w:rFonts w:ascii="Aptos" w:hAnsi="Aptos"/>
                <w:b w:val="0"/>
                <w:sz w:val="16"/>
              </w:rPr>
              <w:t>MCP / JSON-RPC endpoint and runtime tool exposure</w:t>
            </w:r>
          </w:p>
        </w:tc>
      </w:tr>
      <w:tr>
        <w:trPr>
          <w:cantSplit/>
        </w:trPr>
        <w:tc>
          <w:tcPr>
            <w:tcW w:type="dxa" w:w="504"/>
            <w:vAlign w:val="center"/>
            <w:tcMar>
              <w:top w:w="80" w:type="dxa"/>
              <w:start w:w="100" w:type="dxa"/>
              <w:bottom w:w="80" w:type="dxa"/>
              <w:end w:w="100" w:type="dxa"/>
            </w:tcMar>
          </w:tcPr>
          <w:p>
            <w:pPr>
              <w:spacing w:after="0" w:before="0"/>
            </w:pPr>
            <w:r/>
            <w:r>
              <w:rPr>
                <w:rFonts w:ascii="Aptos" w:hAnsi="Aptos"/>
                <w:b w:val="0"/>
                <w:sz w:val="16"/>
              </w:rPr>
              <w:t>08</w:t>
            </w:r>
          </w:p>
        </w:tc>
        <w:tc>
          <w:tcPr>
            <w:tcW w:type="dxa" w:w="3240"/>
            <w:vAlign w:val="center"/>
            <w:tcMar>
              <w:top w:w="80" w:type="dxa"/>
              <w:start w:w="100" w:type="dxa"/>
              <w:bottom w:w="80" w:type="dxa"/>
              <w:end w:w="100" w:type="dxa"/>
            </w:tcMar>
          </w:tcPr>
          <w:p>
            <w:pPr>
              <w:spacing w:after="0" w:before="0"/>
            </w:pPr>
            <w:r/>
            <w:r>
              <w:rPr>
                <w:rFonts w:ascii="Aptos" w:hAnsi="Aptos"/>
                <w:b w:val="0"/>
                <w:sz w:val="16"/>
              </w:rPr>
              <w:t>Execution Orchestrator</w:t>
            </w:r>
          </w:p>
        </w:tc>
        <w:tc>
          <w:tcPr>
            <w:tcW w:type="dxa" w:w="6480"/>
            <w:vAlign w:val="center"/>
            <w:tcMar>
              <w:top w:w="80" w:type="dxa"/>
              <w:start w:w="100" w:type="dxa"/>
              <w:bottom w:w="80" w:type="dxa"/>
              <w:end w:w="100" w:type="dxa"/>
            </w:tcMar>
          </w:tcPr>
          <w:p>
            <w:pPr>
              <w:spacing w:after="0" w:before="0"/>
            </w:pPr>
            <w:r/>
            <w:r>
              <w:rPr>
                <w:rFonts w:ascii="Aptos" w:hAnsi="Aptos"/>
                <w:b w:val="0"/>
                <w:sz w:val="16"/>
              </w:rPr>
              <w:t>Coordinates the Fetch → Normalize → Evaluate workflow</w:t>
            </w:r>
          </w:p>
        </w:tc>
      </w:tr>
      <w:tr>
        <w:trPr>
          <w:cantSplit/>
        </w:trPr>
        <w:tc>
          <w:tcPr>
            <w:tcW w:type="dxa" w:w="504"/>
            <w:vAlign w:val="center"/>
            <w:tcMar>
              <w:top w:w="80" w:type="dxa"/>
              <w:start w:w="100" w:type="dxa"/>
              <w:bottom w:w="80" w:type="dxa"/>
              <w:end w:w="100" w:type="dxa"/>
            </w:tcMar>
            <w:shd w:fill="F3F6F9"/>
          </w:tcPr>
          <w:p>
            <w:pPr>
              <w:spacing w:after="0" w:before="0"/>
            </w:pPr>
            <w:r/>
            <w:r>
              <w:rPr>
                <w:rFonts w:ascii="Aptos" w:hAnsi="Aptos"/>
                <w:b w:val="0"/>
                <w:sz w:val="16"/>
              </w:rPr>
              <w:t>09</w:t>
            </w:r>
          </w:p>
        </w:tc>
        <w:tc>
          <w:tcPr>
            <w:tcW w:type="dxa" w:w="3240"/>
            <w:vAlign w:val="center"/>
            <w:tcMar>
              <w:top w:w="80" w:type="dxa"/>
              <w:start w:w="100" w:type="dxa"/>
              <w:bottom w:w="80" w:type="dxa"/>
              <w:end w:w="100" w:type="dxa"/>
            </w:tcMar>
            <w:shd w:fill="F3F6F9"/>
          </w:tcPr>
          <w:p>
            <w:pPr>
              <w:spacing w:after="0" w:before="0"/>
            </w:pPr>
            <w:r/>
            <w:r>
              <w:rPr>
                <w:rFonts w:ascii="Aptos" w:hAnsi="Aptos"/>
                <w:b w:val="0"/>
                <w:sz w:val="16"/>
              </w:rPr>
              <w:t>Connector Runtime</w:t>
            </w:r>
          </w:p>
        </w:tc>
        <w:tc>
          <w:tcPr>
            <w:tcW w:type="dxa" w:w="6480"/>
            <w:vAlign w:val="center"/>
            <w:tcMar>
              <w:top w:w="80" w:type="dxa"/>
              <w:start w:w="100" w:type="dxa"/>
              <w:bottom w:w="80" w:type="dxa"/>
              <w:end w:w="100" w:type="dxa"/>
            </w:tcMar>
            <w:shd w:fill="F3F6F9"/>
          </w:tcPr>
          <w:p>
            <w:pPr>
              <w:spacing w:after="0" w:before="0"/>
            </w:pPr>
            <w:r/>
            <w:r>
              <w:rPr>
                <w:rFonts w:ascii="Aptos" w:hAnsi="Aptos"/>
                <w:b w:val="0"/>
                <w:sz w:val="16"/>
              </w:rPr>
              <w:t>Executes REST, SQL, GraphQL and secure-proxy calls</w:t>
            </w:r>
          </w:p>
        </w:tc>
      </w:tr>
      <w:tr>
        <w:trPr>
          <w:cantSplit/>
        </w:trPr>
        <w:tc>
          <w:tcPr>
            <w:tcW w:type="dxa" w:w="504"/>
            <w:vAlign w:val="center"/>
            <w:tcMar>
              <w:top w:w="80" w:type="dxa"/>
              <w:start w:w="100" w:type="dxa"/>
              <w:bottom w:w="80" w:type="dxa"/>
              <w:end w:w="100" w:type="dxa"/>
            </w:tcMar>
          </w:tcPr>
          <w:p>
            <w:pPr>
              <w:spacing w:after="0" w:before="0"/>
            </w:pPr>
            <w:r/>
            <w:r>
              <w:rPr>
                <w:rFonts w:ascii="Aptos" w:hAnsi="Aptos"/>
                <w:b w:val="0"/>
                <w:sz w:val="16"/>
              </w:rPr>
              <w:t>10</w:t>
            </w:r>
          </w:p>
        </w:tc>
        <w:tc>
          <w:tcPr>
            <w:tcW w:type="dxa" w:w="3240"/>
            <w:vAlign w:val="center"/>
            <w:tcMar>
              <w:top w:w="80" w:type="dxa"/>
              <w:start w:w="100" w:type="dxa"/>
              <w:bottom w:w="80" w:type="dxa"/>
              <w:end w:w="100" w:type="dxa"/>
            </w:tcMar>
          </w:tcPr>
          <w:p>
            <w:pPr>
              <w:spacing w:after="0" w:before="0"/>
            </w:pPr>
            <w:r/>
            <w:r>
              <w:rPr>
                <w:rFonts w:ascii="Aptos" w:hAnsi="Aptos"/>
                <w:b w:val="0"/>
                <w:sz w:val="16"/>
              </w:rPr>
              <w:t>Data Normalization &amp; Privacy</w:t>
            </w:r>
          </w:p>
        </w:tc>
        <w:tc>
          <w:tcPr>
            <w:tcW w:type="dxa" w:w="6480"/>
            <w:vAlign w:val="center"/>
            <w:tcMar>
              <w:top w:w="80" w:type="dxa"/>
              <w:start w:w="100" w:type="dxa"/>
              <w:bottom w:w="80" w:type="dxa"/>
              <w:end w:w="100" w:type="dxa"/>
            </w:tcMar>
          </w:tcPr>
          <w:p>
            <w:pPr>
              <w:spacing w:after="0" w:before="0"/>
            </w:pPr>
            <w:r/>
            <w:r>
              <w:rPr>
                <w:rFonts w:ascii="Aptos" w:hAnsi="Aptos"/>
                <w:b w:val="0"/>
                <w:sz w:val="16"/>
              </w:rPr>
              <w:t>Canonical mapping, validation, PII masking and filtering</w:t>
            </w:r>
          </w:p>
        </w:tc>
      </w:tr>
      <w:tr>
        <w:trPr>
          <w:cantSplit/>
        </w:trPr>
        <w:tc>
          <w:tcPr>
            <w:tcW w:type="dxa" w:w="504"/>
            <w:vAlign w:val="center"/>
            <w:tcMar>
              <w:top w:w="80" w:type="dxa"/>
              <w:start w:w="100" w:type="dxa"/>
              <w:bottom w:w="80" w:type="dxa"/>
              <w:end w:w="100" w:type="dxa"/>
            </w:tcMar>
            <w:shd w:fill="F3F6F9"/>
          </w:tcPr>
          <w:p>
            <w:pPr>
              <w:spacing w:after="0" w:before="0"/>
            </w:pPr>
            <w:r/>
            <w:r>
              <w:rPr>
                <w:rFonts w:ascii="Aptos" w:hAnsi="Aptos"/>
                <w:b w:val="0"/>
                <w:sz w:val="16"/>
              </w:rPr>
              <w:t>11</w:t>
            </w:r>
          </w:p>
        </w:tc>
        <w:tc>
          <w:tcPr>
            <w:tcW w:type="dxa" w:w="3240"/>
            <w:vAlign w:val="center"/>
            <w:tcMar>
              <w:top w:w="80" w:type="dxa"/>
              <w:start w:w="100" w:type="dxa"/>
              <w:bottom w:w="80" w:type="dxa"/>
              <w:end w:w="100" w:type="dxa"/>
            </w:tcMar>
            <w:shd w:fill="F3F6F9"/>
          </w:tcPr>
          <w:p>
            <w:pPr>
              <w:spacing w:after="0" w:before="0"/>
            </w:pPr>
            <w:r/>
            <w:r>
              <w:rPr>
                <w:rFonts w:ascii="Aptos" w:hAnsi="Aptos"/>
                <w:b w:val="0"/>
                <w:sz w:val="16"/>
              </w:rPr>
              <w:t>Rule Evaluation</w:t>
            </w:r>
          </w:p>
        </w:tc>
        <w:tc>
          <w:tcPr>
            <w:tcW w:type="dxa" w:w="6480"/>
            <w:vAlign w:val="center"/>
            <w:tcMar>
              <w:top w:w="80" w:type="dxa"/>
              <w:start w:w="100" w:type="dxa"/>
              <w:bottom w:w="80" w:type="dxa"/>
              <w:end w:w="100" w:type="dxa"/>
            </w:tcMar>
            <w:shd w:fill="F3F6F9"/>
          </w:tcPr>
          <w:p>
            <w:pPr>
              <w:spacing w:after="0" w:before="0"/>
            </w:pPr>
            <w:r/>
            <w:r>
              <w:rPr>
                <w:rFonts w:ascii="Aptos" w:hAnsi="Aptos"/>
                <w:b w:val="0"/>
                <w:sz w:val="16"/>
              </w:rPr>
              <w:t>Restricted deterministic SpEL evaluation</w:t>
            </w:r>
          </w:p>
        </w:tc>
      </w:tr>
      <w:tr>
        <w:trPr>
          <w:cantSplit/>
        </w:trPr>
        <w:tc>
          <w:tcPr>
            <w:tcW w:type="dxa" w:w="504"/>
            <w:vAlign w:val="center"/>
            <w:tcMar>
              <w:top w:w="80" w:type="dxa"/>
              <w:start w:w="100" w:type="dxa"/>
              <w:bottom w:w="80" w:type="dxa"/>
              <w:end w:w="100" w:type="dxa"/>
            </w:tcMar>
          </w:tcPr>
          <w:p>
            <w:pPr>
              <w:spacing w:after="0" w:before="0"/>
            </w:pPr>
            <w:r/>
            <w:r>
              <w:rPr>
                <w:rFonts w:ascii="Aptos" w:hAnsi="Aptos"/>
                <w:b w:val="0"/>
                <w:sz w:val="16"/>
              </w:rPr>
              <w:t>12</w:t>
            </w:r>
          </w:p>
        </w:tc>
        <w:tc>
          <w:tcPr>
            <w:tcW w:type="dxa" w:w="3240"/>
            <w:vAlign w:val="center"/>
            <w:tcMar>
              <w:top w:w="80" w:type="dxa"/>
              <w:start w:w="100" w:type="dxa"/>
              <w:bottom w:w="80" w:type="dxa"/>
              <w:end w:w="100" w:type="dxa"/>
            </w:tcMar>
          </w:tcPr>
          <w:p>
            <w:pPr>
              <w:spacing w:after="0" w:before="0"/>
            </w:pPr>
            <w:r/>
            <w:r>
              <w:rPr>
                <w:rFonts w:ascii="Aptos" w:hAnsi="Aptos"/>
                <w:b w:val="0"/>
                <w:sz w:val="16"/>
              </w:rPr>
              <w:t>Truth &amp; Confidence</w:t>
            </w:r>
          </w:p>
        </w:tc>
        <w:tc>
          <w:tcPr>
            <w:tcW w:type="dxa" w:w="6480"/>
            <w:vAlign w:val="center"/>
            <w:tcMar>
              <w:top w:w="80" w:type="dxa"/>
              <w:start w:w="100" w:type="dxa"/>
              <w:bottom w:w="80" w:type="dxa"/>
              <w:end w:w="100" w:type="dxa"/>
            </w:tcMar>
          </w:tcPr>
          <w:p>
            <w:pPr>
              <w:spacing w:after="0" w:before="0"/>
            </w:pPr>
            <w:r/>
            <w:r>
              <w:rPr>
                <w:rFonts w:ascii="Aptos" w:hAnsi="Aptos"/>
                <w:b w:val="0"/>
                <w:sz w:val="16"/>
              </w:rPr>
              <w:t>Evidence-backed Truth Cards and ambiguity scoring</w:t>
            </w:r>
          </w:p>
        </w:tc>
      </w:tr>
      <w:tr>
        <w:trPr>
          <w:cantSplit/>
        </w:trPr>
        <w:tc>
          <w:tcPr>
            <w:tcW w:type="dxa" w:w="504"/>
            <w:vAlign w:val="center"/>
            <w:tcMar>
              <w:top w:w="80" w:type="dxa"/>
              <w:start w:w="100" w:type="dxa"/>
              <w:bottom w:w="80" w:type="dxa"/>
              <w:end w:w="100" w:type="dxa"/>
            </w:tcMar>
            <w:shd w:fill="F3F6F9"/>
          </w:tcPr>
          <w:p>
            <w:pPr>
              <w:spacing w:after="0" w:before="0"/>
            </w:pPr>
            <w:r/>
            <w:r>
              <w:rPr>
                <w:rFonts w:ascii="Aptos" w:hAnsi="Aptos"/>
                <w:b w:val="0"/>
                <w:sz w:val="16"/>
              </w:rPr>
              <w:t>13</w:t>
            </w:r>
          </w:p>
        </w:tc>
        <w:tc>
          <w:tcPr>
            <w:tcW w:type="dxa" w:w="3240"/>
            <w:vAlign w:val="center"/>
            <w:tcMar>
              <w:top w:w="80" w:type="dxa"/>
              <w:start w:w="100" w:type="dxa"/>
              <w:bottom w:w="80" w:type="dxa"/>
              <w:end w:w="100" w:type="dxa"/>
            </w:tcMar>
            <w:shd w:fill="F3F6F9"/>
          </w:tcPr>
          <w:p>
            <w:pPr>
              <w:spacing w:after="0" w:before="0"/>
            </w:pPr>
            <w:r/>
            <w:r>
              <w:rPr>
                <w:rFonts w:ascii="Aptos" w:hAnsi="Aptos"/>
                <w:b w:val="0"/>
                <w:sz w:val="16"/>
              </w:rPr>
              <w:t>Audit Management</w:t>
            </w:r>
          </w:p>
        </w:tc>
        <w:tc>
          <w:tcPr>
            <w:tcW w:type="dxa" w:w="6480"/>
            <w:vAlign w:val="center"/>
            <w:tcMar>
              <w:top w:w="80" w:type="dxa"/>
              <w:start w:w="100" w:type="dxa"/>
              <w:bottom w:w="80" w:type="dxa"/>
              <w:end w:w="100" w:type="dxa"/>
            </w:tcMar>
            <w:shd w:fill="F3F6F9"/>
          </w:tcPr>
          <w:p>
            <w:pPr>
              <w:spacing w:after="0" w:before="0"/>
            </w:pPr>
            <w:r/>
            <w:r>
              <w:rPr>
                <w:rFonts w:ascii="Aptos" w:hAnsi="Aptos"/>
                <w:b w:val="0"/>
                <w:sz w:val="16"/>
              </w:rPr>
              <w:t>Immutable, privacy-filtered audit event ingestion and forwarding</w:t>
            </w:r>
          </w:p>
        </w:tc>
      </w:tr>
      <w:tr>
        <w:trPr>
          <w:cantSplit/>
        </w:trPr>
        <w:tc>
          <w:tcPr>
            <w:tcW w:type="dxa" w:w="504"/>
            <w:vAlign w:val="center"/>
            <w:tcMar>
              <w:top w:w="80" w:type="dxa"/>
              <w:start w:w="100" w:type="dxa"/>
              <w:bottom w:w="80" w:type="dxa"/>
              <w:end w:w="100" w:type="dxa"/>
            </w:tcMar>
          </w:tcPr>
          <w:p>
            <w:pPr>
              <w:spacing w:after="0" w:before="0"/>
            </w:pPr>
            <w:r/>
            <w:r>
              <w:rPr>
                <w:rFonts w:ascii="Aptos" w:hAnsi="Aptos"/>
                <w:b w:val="0"/>
                <w:sz w:val="16"/>
              </w:rPr>
              <w:t>14</w:t>
            </w:r>
          </w:p>
        </w:tc>
        <w:tc>
          <w:tcPr>
            <w:tcW w:type="dxa" w:w="3240"/>
            <w:vAlign w:val="center"/>
            <w:tcMar>
              <w:top w:w="80" w:type="dxa"/>
              <w:start w:w="100" w:type="dxa"/>
              <w:bottom w:w="80" w:type="dxa"/>
              <w:end w:w="100" w:type="dxa"/>
            </w:tcMar>
          </w:tcPr>
          <w:p>
            <w:pPr>
              <w:spacing w:after="0" w:before="0"/>
            </w:pPr>
            <w:r/>
            <w:r>
              <w:rPr>
                <w:rFonts w:ascii="Aptos" w:hAnsi="Aptos"/>
                <w:b w:val="0"/>
                <w:sz w:val="16"/>
              </w:rPr>
              <w:t>Integration Health</w:t>
            </w:r>
          </w:p>
        </w:tc>
        <w:tc>
          <w:tcPr>
            <w:tcW w:type="dxa" w:w="6480"/>
            <w:vAlign w:val="center"/>
            <w:tcMar>
              <w:top w:w="80" w:type="dxa"/>
              <w:start w:w="100" w:type="dxa"/>
              <w:bottom w:w="80" w:type="dxa"/>
              <w:end w:w="100" w:type="dxa"/>
            </w:tcMar>
          </w:tcPr>
          <w:p>
            <w:pPr>
              <w:spacing w:after="0" w:before="0"/>
            </w:pPr>
            <w:r/>
            <w:r>
              <w:rPr>
                <w:rFonts w:ascii="Aptos" w:hAnsi="Aptos"/>
                <w:b w:val="0"/>
                <w:sz w:val="16"/>
              </w:rPr>
              <w:t>Scheduled connector probes and endpoint health state</w:t>
            </w:r>
          </w:p>
        </w:tc>
      </w:tr>
    </w:tbl>
    <w:p>
      <w:pPr>
        <w:spacing w:after="20"/>
      </w:pPr>
    </w:p>
    <w:p>
      <w:pPr>
        <w:spacing w:after="100"/>
      </w:pPr>
      <w:r>
        <w:t>Recommended count: 14 OmniTruth business microservices. This excludes the API Gateway/Ingress, external Identity Provider, Secrets Manager/KMS, message broker, Prometheus, Grafana, ELK/Splunk, AI Host and customer data systems; these are platform components or external systems, not custom OmniTruth business microservices.</w:t>
      </w:r>
    </w:p>
    <w:p>
      <w:pPr>
        <w:pStyle w:val="Heading2"/>
        <w:keepNext/>
      </w:pPr>
      <w:r>
        <w:t>Architecture rules that make these real microservices</w:t>
      </w:r>
    </w:p>
    <w:p>
      <w:pPr>
        <w:pStyle w:val="ListBullet"/>
        <w:keepLines/>
        <w:spacing w:after="40"/>
      </w:pPr>
      <w:r>
        <w:t>Each service has a clearly bounded business capability and an independently deployable artifact/container.</w:t>
      </w:r>
    </w:p>
    <w:p>
      <w:pPr>
        <w:pStyle w:val="ListBullet"/>
        <w:keepLines/>
        <w:spacing w:after="40"/>
      </w:pPr>
      <w:r>
        <w:t>Each service owns its data. No service reads or writes another service’s database tables.</w:t>
      </w:r>
    </w:p>
    <w:p>
      <w:pPr>
        <w:pStyle w:val="ListBullet"/>
        <w:keepLines/>
        <w:spacing w:after="40"/>
      </w:pPr>
      <w:r>
        <w:t>Cross-service data is exchanged through APIs or domain events, not shared JPA entities or shared database schemas.</w:t>
      </w:r>
    </w:p>
    <w:p>
      <w:pPr>
        <w:pStyle w:val="ListBullet"/>
        <w:keepLines/>
        <w:spacing w:after="40"/>
      </w:pPr>
      <w:r>
        <w:t>Each service has its own build pipeline, health/readiness endpoints, configuration, secrets access and deployment manifest.</w:t>
      </w:r>
    </w:p>
    <w:p>
      <w:pPr>
        <w:pStyle w:val="ListBullet"/>
        <w:keepLines/>
        <w:spacing w:after="40"/>
      </w:pPr>
      <w:r>
        <w:t>Only domain contracts and small technical libraries may be shared. Do not create a shared “common domain model” that couples service releases.</w:t>
      </w:r>
    </w:p>
    <w:p>
      <w:pPr>
        <w:pStyle w:val="ListBullet"/>
        <w:keepLines/>
        <w:spacing w:after="40"/>
      </w:pPr>
      <w:r>
        <w:t>Not every Java package or pipeline stage automatically deserves a microservice. These 14 boundaries are proposed because the user requested independent logical capabilities; each must still justify its operational cost through ownership, deployment and scaling needs.</w:t>
      </w:r>
    </w:p>
    <w:p>
      <w:pPr>
        <w:pStyle w:val="Heading1"/>
        <w:keepNext/>
      </w:pPr>
      <w:r>
        <w:t>2. Source alignment and assumptions</w:t>
      </w:r>
    </w:p>
    <w:p>
      <w:pPr>
        <w:spacing w:after="100"/>
      </w:pPr>
      <w:r>
        <w:t>The supplied documents establish the main product capabilities: multi-tenant operation; OAuth2/OIDC, JWT and RBAC; blueprint-driven dynamic tool registration; Fetch → Normalize → Evaluate; REST, SQL, GraphQL and secure-proxy integrations; deterministic SpEL rules; Truth Cards; confidence scoring; heartbeat monitoring; and audit logging to customer ELK/Splunk. This proposal separates those capabilities into service boundaries.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3096"/>
            <w:vAlign w:val="center"/>
            <w:tcMar>
              <w:top w:w="80" w:type="dxa"/>
              <w:start w:w="100" w:type="dxa"/>
              <w:bottom w:w="80" w:type="dxa"/>
              <w:end w:w="100" w:type="dxa"/>
            </w:tcMar>
            <w:shd w:fill="17365D"/>
          </w:tcPr>
          <w:p>
            <w:pPr>
              <w:spacing w:after="0" w:before="0"/>
            </w:pPr>
            <w:r/>
            <w:r>
              <w:rPr>
                <w:rFonts w:ascii="Aptos" w:hAnsi="Aptos"/>
                <w:b/>
                <w:color w:val="FFFFFF"/>
                <w:sz w:val="15"/>
              </w:rPr>
              <w:t>Source document</w:t>
            </w:r>
          </w:p>
        </w:tc>
        <w:tc>
          <w:tcPr>
            <w:tcW w:type="dxa" w:w="7128"/>
            <w:vAlign w:val="center"/>
            <w:tcMar>
              <w:top w:w="80" w:type="dxa"/>
              <w:start w:w="100" w:type="dxa"/>
              <w:bottom w:w="80" w:type="dxa"/>
              <w:end w:w="100" w:type="dxa"/>
            </w:tcMar>
            <w:shd w:fill="17365D"/>
          </w:tcPr>
          <w:p>
            <w:pPr>
              <w:spacing w:after="0" w:before="0"/>
            </w:pPr>
            <w:r/>
            <w:r>
              <w:rPr>
                <w:rFonts w:ascii="Aptos" w:hAnsi="Aptos"/>
                <w:b/>
                <w:color w:val="FFFFFF"/>
                <w:sz w:val="15"/>
              </w:rPr>
              <w:t>Relevant documented concepts</w:t>
            </w:r>
          </w:p>
        </w:tc>
      </w:tr>
      <w:tr>
        <w:trPr>
          <w:cantSplit/>
        </w:trPr>
        <w:tc>
          <w:tcPr>
            <w:tcW w:type="dxa" w:w="3096"/>
            <w:vAlign w:val="center"/>
            <w:tcMar>
              <w:top w:w="80" w:type="dxa"/>
              <w:start w:w="100" w:type="dxa"/>
              <w:bottom w:w="80" w:type="dxa"/>
              <w:end w:w="100" w:type="dxa"/>
            </w:tcMar>
            <w:shd w:fill="F3F6F9"/>
          </w:tcPr>
          <w:p>
            <w:pPr>
              <w:spacing w:after="0" w:before="0"/>
            </w:pPr>
            <w:r/>
            <w:r>
              <w:rPr>
                <w:rFonts w:ascii="Aptos" w:hAnsi="Aptos"/>
                <w:b w:val="0"/>
                <w:sz w:val="15"/>
              </w:rPr>
              <w:t>Technical_Specifications.md</w:t>
            </w:r>
          </w:p>
        </w:tc>
        <w:tc>
          <w:tcPr>
            <w:tcW w:type="dxa" w:w="7128"/>
            <w:vAlign w:val="center"/>
            <w:tcMar>
              <w:top w:w="80" w:type="dxa"/>
              <w:start w:w="100" w:type="dxa"/>
              <w:bottom w:w="80" w:type="dxa"/>
              <w:end w:w="100" w:type="dxa"/>
            </w:tcMar>
            <w:shd w:fill="F3F6F9"/>
          </w:tcPr>
          <w:p>
            <w:pPr>
              <w:spacing w:after="0" w:before="0"/>
            </w:pPr>
            <w:r/>
            <w:r>
              <w:rPr>
                <w:rFonts w:ascii="Aptos" w:hAnsi="Aptos"/>
                <w:b w:val="0"/>
                <w:sz w:val="15"/>
              </w:rPr>
              <w:t>Java 21, Spring Boot 3, MCP/JSON-RPC, dynamic tool registration, pipeline, SpEL, Admin REST API, connectors, Micrometer/Prometheus/Grafana, Docker/Kubernetes.</w:t>
            </w:r>
          </w:p>
        </w:tc>
      </w:tr>
      <w:tr>
        <w:trPr>
          <w:cantSplit/>
        </w:trPr>
        <w:tc>
          <w:tcPr>
            <w:tcW w:type="dxa" w:w="3096"/>
            <w:vAlign w:val="center"/>
            <w:tcMar>
              <w:top w:w="80" w:type="dxa"/>
              <w:start w:w="100" w:type="dxa"/>
              <w:bottom w:w="80" w:type="dxa"/>
              <w:end w:w="100" w:type="dxa"/>
            </w:tcMar>
          </w:tcPr>
          <w:p>
            <w:pPr>
              <w:spacing w:after="0" w:before="0"/>
            </w:pPr>
            <w:r/>
            <w:r>
              <w:rPr>
                <w:rFonts w:ascii="Aptos" w:hAnsi="Aptos"/>
                <w:b w:val="0"/>
                <w:sz w:val="15"/>
              </w:rPr>
              <w:t>Full_Architecture_Blueprint.md</w:t>
            </w:r>
          </w:p>
        </w:tc>
        <w:tc>
          <w:tcPr>
            <w:tcW w:type="dxa" w:w="7128"/>
            <w:vAlign w:val="center"/>
            <w:tcMar>
              <w:top w:w="80" w:type="dxa"/>
              <w:start w:w="100" w:type="dxa"/>
              <w:bottom w:w="80" w:type="dxa"/>
              <w:end w:w="100" w:type="dxa"/>
            </w:tcMar>
          </w:tcPr>
          <w:p>
            <w:pPr>
              <w:spacing w:after="0" w:before="0"/>
            </w:pPr>
            <w:r/>
            <w:r>
              <w:rPr>
                <w:rFonts w:ascii="Aptos" w:hAnsi="Aptos"/>
                <w:b w:val="0"/>
                <w:sz w:val="15"/>
              </w:rPr>
              <w:t>OAuth2/OIDC, JWT propagation, RBAC, tenant-aware router, Fetch/Normalize/Verify, heartbeat, Resilience4j, audit logging.</w:t>
            </w:r>
          </w:p>
        </w:tc>
      </w:tr>
      <w:tr>
        <w:trPr>
          <w:cantSplit/>
        </w:trPr>
        <w:tc>
          <w:tcPr>
            <w:tcW w:type="dxa" w:w="3096"/>
            <w:vAlign w:val="center"/>
            <w:tcMar>
              <w:top w:w="80" w:type="dxa"/>
              <w:start w:w="100" w:type="dxa"/>
              <w:bottom w:w="80" w:type="dxa"/>
              <w:end w:w="100" w:type="dxa"/>
            </w:tcMar>
            <w:shd w:fill="F3F6F9"/>
          </w:tcPr>
          <w:p>
            <w:pPr>
              <w:spacing w:after="0" w:before="0"/>
            </w:pPr>
            <w:r/>
            <w:r>
              <w:rPr>
                <w:rFonts w:ascii="Aptos" w:hAnsi="Aptos"/>
                <w:b w:val="0"/>
                <w:sz w:val="15"/>
              </w:rPr>
              <w:t>Project_Specification.md</w:t>
            </w:r>
          </w:p>
        </w:tc>
        <w:tc>
          <w:tcPr>
            <w:tcW w:type="dxa" w:w="7128"/>
            <w:vAlign w:val="center"/>
            <w:tcMar>
              <w:top w:w="80" w:type="dxa"/>
              <w:start w:w="100" w:type="dxa"/>
              <w:bottom w:w="80" w:type="dxa"/>
              <w:end w:w="100" w:type="dxa"/>
            </w:tcMar>
            <w:shd w:fill="F3F6F9"/>
          </w:tcPr>
          <w:p>
            <w:pPr>
              <w:spacing w:after="0" w:before="0"/>
            </w:pPr>
            <w:r/>
            <w:r>
              <w:rPr>
                <w:rFonts w:ascii="Aptos" w:hAnsi="Aptos"/>
                <w:b w:val="0"/>
                <w:sz w:val="15"/>
              </w:rPr>
              <w:t>Admin onboarding, blueprint storage, zero-restart tool registration and execution flow.</w:t>
            </w:r>
          </w:p>
        </w:tc>
      </w:tr>
      <w:tr>
        <w:trPr>
          <w:cantSplit/>
        </w:trPr>
        <w:tc>
          <w:tcPr>
            <w:tcW w:type="dxa" w:w="3096"/>
            <w:vAlign w:val="center"/>
            <w:tcMar>
              <w:top w:w="80" w:type="dxa"/>
              <w:start w:w="100" w:type="dxa"/>
              <w:bottom w:w="80" w:type="dxa"/>
              <w:end w:w="100" w:type="dxa"/>
            </w:tcMar>
          </w:tcPr>
          <w:p>
            <w:pPr>
              <w:spacing w:after="0" w:before="0"/>
            </w:pPr>
            <w:r/>
            <w:r>
              <w:rPr>
                <w:rFonts w:ascii="Aptos" w:hAnsi="Aptos"/>
                <w:b w:val="0"/>
                <w:sz w:val="15"/>
              </w:rPr>
              <w:t>MultiTenant_and_User_Experience.md</w:t>
            </w:r>
          </w:p>
        </w:tc>
        <w:tc>
          <w:tcPr>
            <w:tcW w:type="dxa" w:w="7128"/>
            <w:vAlign w:val="center"/>
            <w:tcMar>
              <w:top w:w="80" w:type="dxa"/>
              <w:start w:w="100" w:type="dxa"/>
              <w:bottom w:w="80" w:type="dxa"/>
              <w:end w:w="100" w:type="dxa"/>
            </w:tcMar>
          </w:tcPr>
          <w:p>
            <w:pPr>
              <w:spacing w:after="0" w:before="0"/>
            </w:pPr>
            <w:r/>
            <w:r>
              <w:rPr>
                <w:rFonts w:ascii="Aptos" w:hAnsi="Aptos"/>
                <w:b w:val="0"/>
                <w:sz w:val="15"/>
              </w:rPr>
              <w:t>Tenant identifiers, tenant-specific blueprints/credentials, client-scoped execution, Admin and Client Portal functions.</w:t>
            </w:r>
          </w:p>
        </w:tc>
      </w:tr>
      <w:tr>
        <w:trPr>
          <w:cantSplit/>
        </w:trPr>
        <w:tc>
          <w:tcPr>
            <w:tcW w:type="dxa" w:w="3096"/>
            <w:vAlign w:val="center"/>
            <w:tcMar>
              <w:top w:w="80" w:type="dxa"/>
              <w:start w:w="100" w:type="dxa"/>
              <w:bottom w:w="80" w:type="dxa"/>
              <w:end w:w="100" w:type="dxa"/>
            </w:tcMar>
            <w:shd w:fill="F3F6F9"/>
          </w:tcPr>
          <w:p>
            <w:pPr>
              <w:spacing w:after="0" w:before="0"/>
            </w:pPr>
            <w:r/>
            <w:r>
              <w:rPr>
                <w:rFonts w:ascii="Aptos" w:hAnsi="Aptos"/>
                <w:b w:val="0"/>
                <w:sz w:val="15"/>
              </w:rPr>
              <w:t>Security_and_Compliance.md</w:t>
            </w:r>
          </w:p>
        </w:tc>
        <w:tc>
          <w:tcPr>
            <w:tcW w:type="dxa" w:w="7128"/>
            <w:vAlign w:val="center"/>
            <w:tcMar>
              <w:top w:w="80" w:type="dxa"/>
              <w:start w:w="100" w:type="dxa"/>
              <w:bottom w:w="80" w:type="dxa"/>
              <w:end w:w="100" w:type="dxa"/>
            </w:tcMar>
            <w:shd w:fill="F3F6F9"/>
          </w:tcPr>
          <w:p>
            <w:pPr>
              <w:spacing w:after="0" w:before="0"/>
            </w:pPr>
            <w:r/>
            <w:r>
              <w:rPr>
                <w:rFonts w:ascii="Aptos" w:hAnsi="Aptos"/>
                <w:b w:val="0"/>
                <w:sz w:val="15"/>
              </w:rPr>
              <w:t>Zero trust, least privilege, VPC/on-prem deployment, stateless pass-through, TLS 1.3, read-only database access, PII masking and immutable audit.</w:t>
            </w:r>
          </w:p>
        </w:tc>
      </w:tr>
    </w:tbl>
    <w:p>
      <w:pPr>
        <w:spacing w:after="20"/>
      </w:pPr>
    </w:p>
    <w:p>
      <w:pPr>
        <w:spacing w:after="100"/>
      </w:pPr>
      <w:r>
        <w:t>Important gap to resolve before implementation: the source material describes both a shared multi-tenant core and deployment inside each customer VPC. Choose shared SaaS, dedicated per-customer deployment, or hybrid. The same service decomposition can support all three, but tenant isolation, secrets placement, network topology and data residency differ.</w:t>
      </w:r>
    </w:p>
    <w:p>
      <w:pPr>
        <w:pStyle w:val="Heading1"/>
        <w:keepNext/>
      </w:pPr>
      <w:r>
        <w:t>3. High-level target architecture</w:t>
      </w:r>
    </w:p>
    <w:p>
      <w:pPr>
        <w:jc w:val="center"/>
      </w:pPr>
      <w:r>
        <w:drawing>
          <wp:inline xmlns:a="http://schemas.openxmlformats.org/drawingml/2006/main" xmlns:pic="http://schemas.openxmlformats.org/drawingml/2006/picture">
            <wp:extent cx="6309360" cy="1867961"/>
            <wp:docPr id="1" name="Picture 1" descr="Architecture diagram showing the Control Plane services, Data Plane execution services, event broker, Audit Management, Integration Health and external platform components." title="OmniTruth target microservices architecture diagram"/>
            <wp:cNvGraphicFramePr>
              <a:graphicFrameLocks noChangeAspect="1"/>
            </wp:cNvGraphicFramePr>
            <a:graphic>
              <a:graphicData uri="http://schemas.openxmlformats.org/drawingml/2006/picture">
                <pic:pic>
                  <pic:nvPicPr>
                    <pic:cNvPr id="0" name="omnitruth_architecture.png"/>
                    <pic:cNvPicPr/>
                  </pic:nvPicPr>
                  <pic:blipFill>
                    <a:blip r:embed="rId11"/>
                    <a:stretch>
                      <a:fillRect/>
                    </a:stretch>
                  </pic:blipFill>
                  <pic:spPr>
                    <a:xfrm>
                      <a:off x="0" y="0"/>
                      <a:ext cx="6309360" cy="1867961"/>
                    </a:xfrm>
                    <a:prstGeom prst="rect"/>
                  </pic:spPr>
                </pic:pic>
              </a:graphicData>
            </a:graphic>
          </wp:inline>
        </w:drawing>
      </w:r>
    </w:p>
    <w:p>
      <w:pPr>
        <w:spacing w:after="100"/>
      </w:pPr>
      <w:r>
        <w:t>Control Plane services manage tenants, users, permissions, recipes, tool publication and connector configuration. Data Plane services accept MCP requests, authorize them, execute connector calls, normalize source data, evaluate rules and return verified results. Audit and Health are independent operational services. The event broker distributes configuration and audit events.</w:t>
      </w:r>
    </w:p>
    <w:p>
      <w:pPr>
        <w:pStyle w:val="Heading1"/>
        <w:keepNext/>
      </w:pPr>
      <w:r>
        <w:t>4. Service inventory and design patterns</w:t>
      </w:r>
    </w:p>
    <w:p>
      <w:pPr>
        <w:spacing w:after="100"/>
      </w:pPr>
      <w:r>
        <w:t>The following sections specify each microservice. Patterns are selected to fit the service’s problem; do not apply every pattern everywhere. The recommended baseline inside each service is a small hexagonal/layered structure: domain model, application use cases, inbound adapters and outbound adapters.</w:t>
      </w:r>
    </w:p>
    <w:p>
      <w:pPr>
        <w:pStyle w:val="Heading1"/>
        <w:keepNext/>
      </w:pPr>
      <w:r>
        <w:t>01. Tenant Management Service</w:t>
      </w:r>
    </w:p>
    <w:p>
      <w:pPr>
        <w:keepNext/>
        <w:spacing w:after="140"/>
      </w:pPr>
      <w:r>
        <w:rPr>
          <w:i/>
          <w:color w:val="4B6982"/>
          <w:sz w:val="20"/>
        </w:rPr>
        <w:t>Control Plane | Owns enterprise tenant lifecycle and isolation metadata</w:t>
      </w:r>
    </w:p>
    <w:p>
      <w:pPr>
        <w:pStyle w:val="Heading2"/>
        <w:keepNext/>
      </w:pPr>
      <w:r>
        <w:t>Purpose and bounded context</w:t>
      </w:r>
    </w:p>
    <w:p>
      <w:pPr>
        <w:spacing w:after="100"/>
      </w:pPr>
      <w:r>
        <w:t>Owns the tenant aggregate: company identity, tenant status, deployment/isolation profile and tenant-level lifecycle. It is the authoritative source for which enterprise tenants exist and whether they may use OmniTruth.</w:t>
      </w:r>
    </w:p>
    <w:p>
      <w:pPr>
        <w:pStyle w:val="Heading2"/>
        <w:keepNext/>
      </w:pPr>
      <w:r>
        <w:t>Responsibilities</w:t>
      </w:r>
    </w:p>
    <w:p>
      <w:pPr>
        <w:pStyle w:val="ListBullet"/>
        <w:keepLines/>
        <w:spacing w:after="40"/>
      </w:pPr>
      <w:r>
        <w:t>Create, update, suspend and reactivate tenants.</w:t>
      </w:r>
    </w:p>
    <w:p>
      <w:pPr>
        <w:pStyle w:val="ListBullet"/>
        <w:keepLines/>
        <w:spacing w:after="40"/>
      </w:pPr>
      <w:r>
        <w:t>Maintain tenant identifier, company profile, status, region and deployment mode (shared, dedicated or hybrid).</w:t>
      </w:r>
    </w:p>
    <w:p>
      <w:pPr>
        <w:pStyle w:val="ListBullet"/>
        <w:keepLines/>
        <w:spacing w:after="40"/>
      </w:pPr>
      <w:r>
        <w:t>Maintain tenant-level feature flags and references to tenant deployment/network boundaries.</w:t>
      </w:r>
    </w:p>
    <w:p>
      <w:pPr>
        <w:pStyle w:val="ListBullet"/>
        <w:keepLines/>
        <w:spacing w:after="40"/>
      </w:pPr>
      <w:r>
        <w:t>Publish TenantCreated, TenantSuspended and TenantProfileChanged events.</w:t>
      </w:r>
    </w:p>
    <w:p>
      <w:pPr>
        <w:pStyle w:val="ListBullet"/>
        <w:keepLines/>
        <w:spacing w:after="40"/>
      </w:pPr>
      <w:r>
        <w:t>Provide tenant lookup for administrative workflows; execution services should use a validated tenant claim plus a cached tenant profile rather than calling this service for every internal step.</w:t>
      </w:r>
    </w:p>
    <w:p>
      <w:pPr>
        <w:pStyle w:val="Heading2"/>
        <w:keepNext/>
      </w:pPr>
      <w:r>
        <w:t>Recommended design patterns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232"/>
            <w:vAlign w:val="center"/>
            <w:tcMar>
              <w:top w:w="80" w:type="dxa"/>
              <w:start w:w="100" w:type="dxa"/>
              <w:bottom w:w="80" w:type="dxa"/>
              <w:end w:w="100" w:type="dxa"/>
            </w:tcMar>
            <w:shd w:fill="17365D"/>
          </w:tcPr>
          <w:p>
            <w:pPr>
              <w:spacing w:after="0" w:before="0"/>
            </w:pPr>
            <w:r/>
            <w:r>
              <w:rPr>
                <w:rFonts w:ascii="Aptos" w:hAnsi="Aptos"/>
                <w:b/>
                <w:color w:val="FFFFFF"/>
                <w:sz w:val="15"/>
              </w:rPr>
              <w:t>Pattern</w:t>
            </w:r>
          </w:p>
        </w:tc>
        <w:tc>
          <w:tcPr>
            <w:tcW w:type="dxa" w:w="7992"/>
            <w:vAlign w:val="center"/>
            <w:tcMar>
              <w:top w:w="80" w:type="dxa"/>
              <w:start w:w="100" w:type="dxa"/>
              <w:bottom w:w="80" w:type="dxa"/>
              <w:end w:w="100" w:type="dxa"/>
            </w:tcMar>
            <w:shd w:fill="17365D"/>
          </w:tcPr>
          <w:p>
            <w:pPr>
              <w:spacing w:after="0" w:before="0"/>
            </w:pPr>
            <w:r/>
            <w:r>
              <w:rPr>
                <w:rFonts w:ascii="Aptos" w:hAnsi="Aptos"/>
                <w:b/>
                <w:color w:val="FFFFFF"/>
                <w:sz w:val="15"/>
              </w:rPr>
              <w:t>How to apply it here</w:t>
            </w:r>
          </w:p>
        </w:tc>
      </w:tr>
      <w:tr>
        <w:trPr>
          <w:cantSplit/>
        </w:trPr>
        <w:tc>
          <w:tcPr>
            <w:tcW w:type="dxa" w:w="2232"/>
            <w:vAlign w:val="center"/>
            <w:tcMar>
              <w:top w:w="80" w:type="dxa"/>
              <w:start w:w="100" w:type="dxa"/>
              <w:bottom w:w="80" w:type="dxa"/>
              <w:end w:w="100" w:type="dxa"/>
            </w:tcMar>
            <w:shd w:fill="F3F6F9"/>
          </w:tcPr>
          <w:p>
            <w:pPr>
              <w:spacing w:after="0" w:before="0"/>
            </w:pPr>
            <w:r/>
            <w:r>
              <w:rPr>
                <w:rFonts w:ascii="Aptos" w:hAnsi="Aptos"/>
                <w:b w:val="0"/>
                <w:sz w:val="15"/>
              </w:rPr>
              <w:t>DDD Aggregate + Aggregate Root</w:t>
            </w:r>
          </w:p>
        </w:tc>
        <w:tc>
          <w:tcPr>
            <w:tcW w:type="dxa" w:w="7992"/>
            <w:vAlign w:val="center"/>
            <w:tcMar>
              <w:top w:w="80" w:type="dxa"/>
              <w:start w:w="100" w:type="dxa"/>
              <w:bottom w:w="80" w:type="dxa"/>
              <w:end w:w="100" w:type="dxa"/>
            </w:tcMar>
            <w:shd w:fill="F3F6F9"/>
          </w:tcPr>
          <w:p>
            <w:pPr>
              <w:spacing w:after="0" w:before="0"/>
            </w:pPr>
            <w:r/>
            <w:r>
              <w:rPr>
                <w:rFonts w:ascii="Aptos" w:hAnsi="Aptos"/>
                <w:b w:val="0"/>
                <w:sz w:val="15"/>
              </w:rPr>
              <w:t>Model Tenant as the aggregate root. Enforce invariants such as unique tenant ID, valid lifecycle transitions and no activation without required provisioning metadata.</w:t>
            </w:r>
          </w:p>
        </w:tc>
      </w:tr>
      <w:tr>
        <w:trPr>
          <w:cantSplit/>
        </w:trPr>
        <w:tc>
          <w:tcPr>
            <w:tcW w:type="dxa" w:w="2232"/>
            <w:vAlign w:val="center"/>
            <w:tcMar>
              <w:top w:w="80" w:type="dxa"/>
              <w:start w:w="100" w:type="dxa"/>
              <w:bottom w:w="80" w:type="dxa"/>
              <w:end w:w="100" w:type="dxa"/>
            </w:tcMar>
          </w:tcPr>
          <w:p>
            <w:pPr>
              <w:spacing w:after="0" w:before="0"/>
            </w:pPr>
            <w:r/>
            <w:r>
              <w:rPr>
                <w:rFonts w:ascii="Aptos" w:hAnsi="Aptos"/>
                <w:b w:val="0"/>
                <w:sz w:val="15"/>
              </w:rPr>
              <w:t>Repository</w:t>
            </w:r>
          </w:p>
        </w:tc>
        <w:tc>
          <w:tcPr>
            <w:tcW w:type="dxa" w:w="7992"/>
            <w:vAlign w:val="center"/>
            <w:tcMar>
              <w:top w:w="80" w:type="dxa"/>
              <w:start w:w="100" w:type="dxa"/>
              <w:bottom w:w="80" w:type="dxa"/>
              <w:end w:w="100" w:type="dxa"/>
            </w:tcMar>
          </w:tcPr>
          <w:p>
            <w:pPr>
              <w:spacing w:after="0" w:before="0"/>
            </w:pPr>
            <w:r/>
            <w:r>
              <w:rPr>
                <w:rFonts w:ascii="Aptos" w:hAnsi="Aptos"/>
                <w:b w:val="0"/>
                <w:sz w:val="15"/>
              </w:rPr>
              <w:t>Hide persistence behind TenantRepository; only this service accesses its tenant database.</w:t>
            </w:r>
          </w:p>
        </w:tc>
      </w:tr>
      <w:tr>
        <w:trPr>
          <w:cantSplit/>
        </w:trPr>
        <w:tc>
          <w:tcPr>
            <w:tcW w:type="dxa" w:w="2232"/>
            <w:vAlign w:val="center"/>
            <w:tcMar>
              <w:top w:w="80" w:type="dxa"/>
              <w:start w:w="100" w:type="dxa"/>
              <w:bottom w:w="80" w:type="dxa"/>
              <w:end w:w="100" w:type="dxa"/>
            </w:tcMar>
            <w:shd w:fill="F3F6F9"/>
          </w:tcPr>
          <w:p>
            <w:pPr>
              <w:spacing w:after="0" w:before="0"/>
            </w:pPr>
            <w:r/>
            <w:r>
              <w:rPr>
                <w:rFonts w:ascii="Aptos" w:hAnsi="Aptos"/>
                <w:b w:val="0"/>
                <w:sz w:val="15"/>
              </w:rPr>
              <w:t>Specification</w:t>
            </w:r>
          </w:p>
        </w:tc>
        <w:tc>
          <w:tcPr>
            <w:tcW w:type="dxa" w:w="7992"/>
            <w:vAlign w:val="center"/>
            <w:tcMar>
              <w:top w:w="80" w:type="dxa"/>
              <w:start w:w="100" w:type="dxa"/>
              <w:bottom w:w="80" w:type="dxa"/>
              <w:end w:w="100" w:type="dxa"/>
            </w:tcMar>
            <w:shd w:fill="F3F6F9"/>
          </w:tcPr>
          <w:p>
            <w:pPr>
              <w:spacing w:after="0" w:before="0"/>
            </w:pPr>
            <w:r/>
            <w:r>
              <w:rPr>
                <w:rFonts w:ascii="Aptos" w:hAnsi="Aptos"/>
                <w:b w:val="0"/>
                <w:sz w:val="15"/>
              </w:rPr>
              <w:t>Express tenant eligibility, status and deployment constraints as composable specifications.</w:t>
            </w:r>
          </w:p>
        </w:tc>
      </w:tr>
      <w:tr>
        <w:trPr>
          <w:cantSplit/>
        </w:trPr>
        <w:tc>
          <w:tcPr>
            <w:tcW w:type="dxa" w:w="2232"/>
            <w:vAlign w:val="center"/>
            <w:tcMar>
              <w:top w:w="80" w:type="dxa"/>
              <w:start w:w="100" w:type="dxa"/>
              <w:bottom w:w="80" w:type="dxa"/>
              <w:end w:w="100" w:type="dxa"/>
            </w:tcMar>
          </w:tcPr>
          <w:p>
            <w:pPr>
              <w:spacing w:after="0" w:before="0"/>
            </w:pPr>
            <w:r/>
            <w:r>
              <w:rPr>
                <w:rFonts w:ascii="Aptos" w:hAnsi="Aptos"/>
                <w:b w:val="0"/>
                <w:sz w:val="15"/>
              </w:rPr>
              <w:t>Domain Events + Transactional Outbox</w:t>
            </w:r>
          </w:p>
        </w:tc>
        <w:tc>
          <w:tcPr>
            <w:tcW w:type="dxa" w:w="7992"/>
            <w:vAlign w:val="center"/>
            <w:tcMar>
              <w:top w:w="80" w:type="dxa"/>
              <w:start w:w="100" w:type="dxa"/>
              <w:bottom w:w="80" w:type="dxa"/>
              <w:end w:w="100" w:type="dxa"/>
            </w:tcMar>
          </w:tcPr>
          <w:p>
            <w:pPr>
              <w:spacing w:after="0" w:before="0"/>
            </w:pPr>
            <w:r/>
            <w:r>
              <w:rPr>
                <w:rFonts w:ascii="Aptos" w:hAnsi="Aptos"/>
                <w:b w:val="0"/>
                <w:sz w:val="15"/>
              </w:rPr>
              <w:t>Persist the tenant change and its event atomically; publish after commit so downstream services can provision tenant-scoped records.</w:t>
            </w:r>
          </w:p>
        </w:tc>
      </w:tr>
    </w:tbl>
    <w:p>
      <w:pPr>
        <w:spacing w:after="20"/>
      </w:pPr>
    </w:p>
    <w:p>
      <w:pPr>
        <w:pStyle w:val="Heading2"/>
        <w:keepNext/>
      </w:pPr>
      <w:r>
        <w:t>Data ownership</w:t>
      </w:r>
    </w:p>
    <w:p>
      <w:pPr>
        <w:spacing w:after="100"/>
      </w:pPr>
      <w:r>
        <w:t>Own database: tenant_db. Suggested tables: tenants, tenant_profiles, tenant_deployment_profiles, tenant_domains, tenant_feature_flags. It stores tenant metadata, not user profiles, blueprints, credentials or customer business data.</w:t>
      </w:r>
    </w:p>
    <w:p>
      <w:pPr>
        <w:pStyle w:val="Heading2"/>
        <w:keepNext/>
      </w:pPr>
      <w:r>
        <w:t>Representative interface</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1944"/>
            <w:vAlign w:val="center"/>
            <w:tcMar>
              <w:top w:w="80" w:type="dxa"/>
              <w:start w:w="100" w:type="dxa"/>
              <w:bottom w:w="80" w:type="dxa"/>
              <w:end w:w="100" w:type="dxa"/>
            </w:tcMar>
            <w:shd w:fill="17365D"/>
          </w:tcPr>
          <w:p>
            <w:pPr>
              <w:spacing w:after="0" w:before="0"/>
            </w:pPr>
            <w:r/>
            <w:r>
              <w:rPr>
                <w:rFonts w:ascii="Aptos" w:hAnsi="Aptos"/>
                <w:b/>
                <w:color w:val="FFFFFF"/>
                <w:sz w:val="15"/>
              </w:rPr>
              <w:t>Type</w:t>
            </w:r>
          </w:p>
        </w:tc>
        <w:tc>
          <w:tcPr>
            <w:tcW w:type="dxa" w:w="8280"/>
            <w:vAlign w:val="center"/>
            <w:tcMar>
              <w:top w:w="80" w:type="dxa"/>
              <w:start w:w="100" w:type="dxa"/>
              <w:bottom w:w="80" w:type="dxa"/>
              <w:end w:w="100" w:type="dxa"/>
            </w:tcMar>
            <w:shd w:fill="17365D"/>
          </w:tcPr>
          <w:p>
            <w:pPr>
              <w:spacing w:after="0" w:before="0"/>
            </w:pPr>
            <w:r/>
            <w:r>
              <w:rPr>
                <w:rFonts w:ascii="Aptos" w:hAnsi="Aptos"/>
                <w:b/>
                <w:color w:val="FFFFFF"/>
                <w:sz w:val="15"/>
              </w:rPr>
              <w:t>Contract / example</w:t>
            </w:r>
          </w:p>
        </w:tc>
      </w:tr>
      <w:tr>
        <w:trPr>
          <w:cantSplit/>
        </w:trPr>
        <w:tc>
          <w:tcPr>
            <w:tcW w:type="dxa" w:w="1944"/>
            <w:vAlign w:val="center"/>
            <w:tcMar>
              <w:top w:w="80" w:type="dxa"/>
              <w:start w:w="100" w:type="dxa"/>
              <w:bottom w:w="80" w:type="dxa"/>
              <w:end w:w="100" w:type="dxa"/>
            </w:tcMar>
            <w:shd w:fill="F3F6F9"/>
          </w:tcPr>
          <w:p>
            <w:pPr>
              <w:spacing w:after="0" w:before="0"/>
            </w:pPr>
            <w:r/>
            <w:r>
              <w:rPr>
                <w:rFonts w:ascii="Aptos" w:hAnsi="Aptos"/>
                <w:b w:val="0"/>
                <w:sz w:val="15"/>
              </w:rPr>
              <w:t>REST</w:t>
            </w:r>
          </w:p>
        </w:tc>
        <w:tc>
          <w:tcPr>
            <w:tcW w:type="dxa" w:w="8280"/>
            <w:vAlign w:val="center"/>
            <w:tcMar>
              <w:top w:w="80" w:type="dxa"/>
              <w:start w:w="100" w:type="dxa"/>
              <w:bottom w:w="80" w:type="dxa"/>
              <w:end w:w="100" w:type="dxa"/>
            </w:tcMar>
            <w:shd w:fill="F3F6F9"/>
          </w:tcPr>
          <w:p>
            <w:pPr>
              <w:spacing w:after="0" w:before="0"/>
            </w:pPr>
            <w:r/>
            <w:r>
              <w:rPr>
                <w:rFonts w:ascii="Aptos" w:hAnsi="Aptos"/>
                <w:b w:val="0"/>
                <w:sz w:val="15"/>
              </w:rPr>
              <w:t>POST /v1/tenants; GET /v1/tenants/{tenantId}; PATCH /v1/tenants/{tenantId}/status; GET /internal/v1/tenants/{tenantId}/profile</w:t>
            </w:r>
          </w:p>
        </w:tc>
      </w:tr>
      <w:tr>
        <w:trPr>
          <w:cantSplit/>
        </w:trPr>
        <w:tc>
          <w:tcPr>
            <w:tcW w:type="dxa" w:w="1944"/>
            <w:vAlign w:val="center"/>
            <w:tcMar>
              <w:top w:w="80" w:type="dxa"/>
              <w:start w:w="100" w:type="dxa"/>
              <w:bottom w:w="80" w:type="dxa"/>
              <w:end w:w="100" w:type="dxa"/>
            </w:tcMar>
          </w:tcPr>
          <w:p>
            <w:pPr>
              <w:spacing w:after="0" w:before="0"/>
            </w:pPr>
            <w:r/>
            <w:r>
              <w:rPr>
                <w:rFonts w:ascii="Aptos" w:hAnsi="Aptos"/>
                <w:b w:val="0"/>
                <w:sz w:val="15"/>
              </w:rPr>
              <w:t>Events out</w:t>
            </w:r>
          </w:p>
        </w:tc>
        <w:tc>
          <w:tcPr>
            <w:tcW w:type="dxa" w:w="8280"/>
            <w:vAlign w:val="center"/>
            <w:tcMar>
              <w:top w:w="80" w:type="dxa"/>
              <w:start w:w="100" w:type="dxa"/>
              <w:bottom w:w="80" w:type="dxa"/>
              <w:end w:w="100" w:type="dxa"/>
            </w:tcMar>
          </w:tcPr>
          <w:p>
            <w:pPr>
              <w:spacing w:after="0" w:before="0"/>
            </w:pPr>
            <w:r/>
            <w:r>
              <w:rPr>
                <w:rFonts w:ascii="Aptos" w:hAnsi="Aptos"/>
                <w:b w:val="0"/>
                <w:sz w:val="15"/>
              </w:rPr>
              <w:t>TenantCreated, TenantSuspended, TenantReactivated, TenantProfileChanged</w:t>
            </w:r>
          </w:p>
        </w:tc>
      </w:tr>
      <w:tr>
        <w:trPr>
          <w:cantSplit/>
        </w:trPr>
        <w:tc>
          <w:tcPr>
            <w:tcW w:type="dxa" w:w="1944"/>
            <w:vAlign w:val="center"/>
            <w:tcMar>
              <w:top w:w="80" w:type="dxa"/>
              <w:start w:w="100" w:type="dxa"/>
              <w:bottom w:w="80" w:type="dxa"/>
              <w:end w:w="100" w:type="dxa"/>
            </w:tcMar>
            <w:shd w:fill="F3F6F9"/>
          </w:tcPr>
          <w:p>
            <w:pPr>
              <w:spacing w:after="0" w:before="0"/>
            </w:pPr>
            <w:r/>
            <w:r>
              <w:rPr>
                <w:rFonts w:ascii="Aptos" w:hAnsi="Aptos"/>
                <w:b w:val="0"/>
                <w:sz w:val="15"/>
              </w:rPr>
              <w:t>Events in</w:t>
            </w:r>
          </w:p>
        </w:tc>
        <w:tc>
          <w:tcPr>
            <w:tcW w:type="dxa" w:w="8280"/>
            <w:vAlign w:val="center"/>
            <w:tcMar>
              <w:top w:w="80" w:type="dxa"/>
              <w:start w:w="100" w:type="dxa"/>
              <w:bottom w:w="80" w:type="dxa"/>
              <w:end w:w="100" w:type="dxa"/>
            </w:tcMar>
            <w:shd w:fill="F3F6F9"/>
          </w:tcPr>
          <w:p>
            <w:pPr>
              <w:spacing w:after="0" w:before="0"/>
            </w:pPr>
            <w:r/>
            <w:r>
              <w:rPr>
                <w:rFonts w:ascii="Aptos" w:hAnsi="Aptos"/>
                <w:b w:val="0"/>
                <w:sz w:val="15"/>
              </w:rPr>
              <w:t>Optional provisioning outcomes from deployment automation; do not make tenant creation synchronously depend on every downstream service.</w:t>
            </w:r>
          </w:p>
        </w:tc>
      </w:tr>
    </w:tbl>
    <w:p>
      <w:pPr>
        <w:spacing w:after="20"/>
      </w:pPr>
    </w:p>
    <w:p>
      <w:pPr>
        <w:pStyle w:val="Heading2"/>
        <w:keepNext/>
      </w:pPr>
      <w:r>
        <w:t>Must not own / boundary rules</w:t>
      </w:r>
    </w:p>
    <w:p>
      <w:pPr>
        <w:pStyle w:val="ListBullet"/>
        <w:keepLines/>
        <w:spacing w:after="40"/>
      </w:pPr>
      <w:r>
        <w:t>Does not authenticate users or store passwords; the external OIDC Identity Provider performs primary authentication.</w:t>
      </w:r>
    </w:p>
    <w:p>
      <w:pPr>
        <w:pStyle w:val="ListBullet"/>
        <w:keepLines/>
        <w:spacing w:after="40"/>
      </w:pPr>
      <w:r>
        <w:t>Does not own user membership, authorization policies, blueprints or connector definitions.</w:t>
      </w:r>
    </w:p>
    <w:p>
      <w:pPr>
        <w:pStyle w:val="ListBullet"/>
        <w:keepLines/>
        <w:spacing w:after="40"/>
      </w:pPr>
      <w:r>
        <w:t>Does not access customer operational databases.</w:t>
      </w:r>
    </w:p>
    <w:p>
      <w:pPr>
        <w:pStyle w:val="Heading2"/>
        <w:keepNext/>
      </w:pPr>
      <w:r>
        <w:t>Key implementation notes</w:t>
      </w:r>
    </w:p>
    <w:p>
      <w:pPr>
        <w:pStyle w:val="ListBullet"/>
        <w:keepLines/>
        <w:spacing w:after="40"/>
      </w:pPr>
      <w:r>
        <w:t>Tenant context must be derived from a validated JWT claim or trusted service identity. Never trust an arbitrary X-Tenant-ID header on its own.</w:t>
      </w:r>
    </w:p>
    <w:p>
      <w:pPr>
        <w:pStyle w:val="ListBullet"/>
        <w:keepLines/>
        <w:spacing w:after="40"/>
      </w:pPr>
      <w:r>
        <w:t>For dedicated deployments, tenant provisioning can trigger infrastructure automation; for shared SaaS, provisioning creates isolated logical resources and policy boundaries.</w:t>
      </w:r>
    </w:p>
    <w:p>
      <w:pPr>
        <w:pStyle w:val="Heading1"/>
        <w:keepNext/>
      </w:pPr>
      <w:r>
        <w:t>02. User Management Service</w:t>
      </w:r>
    </w:p>
    <w:p>
      <w:pPr>
        <w:keepNext/>
        <w:spacing w:after="140"/>
      </w:pPr>
      <w:r>
        <w:rPr>
          <w:i/>
          <w:color w:val="4B6982"/>
          <w:sz w:val="20"/>
        </w:rPr>
        <w:t>Control Plane | Owns OmniTruth user profiles and tenant memberships</w:t>
      </w:r>
    </w:p>
    <w:p>
      <w:pPr>
        <w:pStyle w:val="Heading2"/>
        <w:keepNext/>
      </w:pPr>
      <w:r>
        <w:t>Purpose and bounded context</w:t>
      </w:r>
    </w:p>
    <w:p>
      <w:pPr>
        <w:spacing w:after="100"/>
      </w:pPr>
      <w:r>
        <w:t>Owns the application-level user profile and the relationship between an external identity and one or more OmniTruth tenants. Authentication credentials, MFA and login sessions remain with the enterprise IdP or a managed identity platform.</w:t>
      </w:r>
    </w:p>
    <w:p>
      <w:pPr>
        <w:pStyle w:val="Heading2"/>
        <w:keepNext/>
      </w:pPr>
      <w:r>
        <w:t>Responsibilities</w:t>
      </w:r>
    </w:p>
    <w:p>
      <w:pPr>
        <w:pStyle w:val="ListBullet"/>
        <w:keepLines/>
        <w:spacing w:after="40"/>
      </w:pPr>
      <w:r>
        <w:t>Provision a user profile when an IdP identity first appears or an administrator invites a user.</w:t>
      </w:r>
    </w:p>
    <w:p>
      <w:pPr>
        <w:pStyle w:val="ListBullet"/>
        <w:keepLines/>
        <w:spacing w:after="40"/>
      </w:pPr>
      <w:r>
        <w:t>Maintain external identity mapping (issuer + subject), display profile and account lifecycle.</w:t>
      </w:r>
    </w:p>
    <w:p>
      <w:pPr>
        <w:pStyle w:val="ListBullet"/>
        <w:keepLines/>
        <w:spacing w:after="40"/>
      </w:pPr>
      <w:r>
        <w:t>Manage tenant memberships, invitation status and membership expiry.</w:t>
      </w:r>
    </w:p>
    <w:p>
      <w:pPr>
        <w:pStyle w:val="ListBullet"/>
        <w:keepLines/>
        <w:spacing w:after="40"/>
      </w:pPr>
      <w:r>
        <w:t>Support user deactivation and tenant membership revocation.</w:t>
      </w:r>
    </w:p>
    <w:p>
      <w:pPr>
        <w:pStyle w:val="ListBullet"/>
        <w:keepLines/>
        <w:spacing w:after="40"/>
      </w:pPr>
      <w:r>
        <w:t>Publish UserProvisioned, UserUpdated, UserDeactivated and TenantMembershipChanged events.</w:t>
      </w:r>
    </w:p>
    <w:p>
      <w:pPr>
        <w:pStyle w:val="Heading2"/>
        <w:keepNext/>
      </w:pPr>
      <w:r>
        <w:t>Recommended design patterns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232"/>
            <w:vAlign w:val="center"/>
            <w:tcMar>
              <w:top w:w="80" w:type="dxa"/>
              <w:start w:w="100" w:type="dxa"/>
              <w:bottom w:w="80" w:type="dxa"/>
              <w:end w:w="100" w:type="dxa"/>
            </w:tcMar>
            <w:shd w:fill="17365D"/>
          </w:tcPr>
          <w:p>
            <w:pPr>
              <w:spacing w:after="0" w:before="0"/>
            </w:pPr>
            <w:r/>
            <w:r>
              <w:rPr>
                <w:rFonts w:ascii="Aptos" w:hAnsi="Aptos"/>
                <w:b/>
                <w:color w:val="FFFFFF"/>
                <w:sz w:val="15"/>
              </w:rPr>
              <w:t>Pattern</w:t>
            </w:r>
          </w:p>
        </w:tc>
        <w:tc>
          <w:tcPr>
            <w:tcW w:type="dxa" w:w="7992"/>
            <w:vAlign w:val="center"/>
            <w:tcMar>
              <w:top w:w="80" w:type="dxa"/>
              <w:start w:w="100" w:type="dxa"/>
              <w:bottom w:w="80" w:type="dxa"/>
              <w:end w:w="100" w:type="dxa"/>
            </w:tcMar>
            <w:shd w:fill="17365D"/>
          </w:tcPr>
          <w:p>
            <w:pPr>
              <w:spacing w:after="0" w:before="0"/>
            </w:pPr>
            <w:r/>
            <w:r>
              <w:rPr>
                <w:rFonts w:ascii="Aptos" w:hAnsi="Aptos"/>
                <w:b/>
                <w:color w:val="FFFFFF"/>
                <w:sz w:val="15"/>
              </w:rPr>
              <w:t>How to apply it here</w:t>
            </w:r>
          </w:p>
        </w:tc>
      </w:tr>
      <w:tr>
        <w:trPr>
          <w:cantSplit/>
        </w:trPr>
        <w:tc>
          <w:tcPr>
            <w:tcW w:type="dxa" w:w="2232"/>
            <w:vAlign w:val="center"/>
            <w:tcMar>
              <w:top w:w="80" w:type="dxa"/>
              <w:start w:w="100" w:type="dxa"/>
              <w:bottom w:w="80" w:type="dxa"/>
              <w:end w:w="100" w:type="dxa"/>
            </w:tcMar>
            <w:shd w:fill="F3F6F9"/>
          </w:tcPr>
          <w:p>
            <w:pPr>
              <w:spacing w:after="0" w:before="0"/>
            </w:pPr>
            <w:r/>
            <w:r>
              <w:rPr>
                <w:rFonts w:ascii="Aptos" w:hAnsi="Aptos"/>
                <w:b w:val="0"/>
                <w:sz w:val="15"/>
              </w:rPr>
              <w:t>DDD Aggregate</w:t>
            </w:r>
          </w:p>
        </w:tc>
        <w:tc>
          <w:tcPr>
            <w:tcW w:type="dxa" w:w="7992"/>
            <w:vAlign w:val="center"/>
            <w:tcMar>
              <w:top w:w="80" w:type="dxa"/>
              <w:start w:w="100" w:type="dxa"/>
              <w:bottom w:w="80" w:type="dxa"/>
              <w:end w:w="100" w:type="dxa"/>
            </w:tcMar>
            <w:shd w:fill="F3F6F9"/>
          </w:tcPr>
          <w:p>
            <w:pPr>
              <w:spacing w:after="0" w:before="0"/>
            </w:pPr>
            <w:r/>
            <w:r>
              <w:rPr>
                <w:rFonts w:ascii="Aptos" w:hAnsi="Aptos"/>
                <w:b w:val="0"/>
                <w:sz w:val="15"/>
              </w:rPr>
              <w:t>Use User and TenantMembership aggregates; enforce uniqueness of (issuer, subject) and valid membership states.</w:t>
            </w:r>
          </w:p>
        </w:tc>
      </w:tr>
      <w:tr>
        <w:trPr>
          <w:cantSplit/>
        </w:trPr>
        <w:tc>
          <w:tcPr>
            <w:tcW w:type="dxa" w:w="2232"/>
            <w:vAlign w:val="center"/>
            <w:tcMar>
              <w:top w:w="80" w:type="dxa"/>
              <w:start w:w="100" w:type="dxa"/>
              <w:bottom w:w="80" w:type="dxa"/>
              <w:end w:w="100" w:type="dxa"/>
            </w:tcMar>
          </w:tcPr>
          <w:p>
            <w:pPr>
              <w:spacing w:after="0" w:before="0"/>
            </w:pPr>
            <w:r/>
            <w:r>
              <w:rPr>
                <w:rFonts w:ascii="Aptos" w:hAnsi="Aptos"/>
                <w:b w:val="0"/>
                <w:sz w:val="15"/>
              </w:rPr>
              <w:t>Adapter</w:t>
            </w:r>
          </w:p>
        </w:tc>
        <w:tc>
          <w:tcPr>
            <w:tcW w:type="dxa" w:w="7992"/>
            <w:vAlign w:val="center"/>
            <w:tcMar>
              <w:top w:w="80" w:type="dxa"/>
              <w:start w:w="100" w:type="dxa"/>
              <w:bottom w:w="80" w:type="dxa"/>
              <w:end w:w="100" w:type="dxa"/>
            </w:tcMar>
          </w:tcPr>
          <w:p>
            <w:pPr>
              <w:spacing w:after="0" w:before="0"/>
            </w:pPr>
            <w:r/>
            <w:r>
              <w:rPr>
                <w:rFonts w:ascii="Aptos" w:hAnsi="Aptos"/>
                <w:b w:val="0"/>
                <w:sz w:val="15"/>
              </w:rPr>
              <w:t>Wrap the chosen IdP or SCIM provider behind an IdentityProviderAdapter so Keycloak, Entra ID, Okta or another provider can be changed without rewriting domain logic.</w:t>
            </w:r>
          </w:p>
        </w:tc>
      </w:tr>
      <w:tr>
        <w:trPr>
          <w:cantSplit/>
        </w:trPr>
        <w:tc>
          <w:tcPr>
            <w:tcW w:type="dxa" w:w="2232"/>
            <w:vAlign w:val="center"/>
            <w:tcMar>
              <w:top w:w="80" w:type="dxa"/>
              <w:start w:w="100" w:type="dxa"/>
              <w:bottom w:w="80" w:type="dxa"/>
              <w:end w:w="100" w:type="dxa"/>
            </w:tcMar>
            <w:shd w:fill="F3F6F9"/>
          </w:tcPr>
          <w:p>
            <w:pPr>
              <w:spacing w:after="0" w:before="0"/>
            </w:pPr>
            <w:r/>
            <w:r>
              <w:rPr>
                <w:rFonts w:ascii="Aptos" w:hAnsi="Aptos"/>
                <w:b w:val="0"/>
                <w:sz w:val="15"/>
              </w:rPr>
              <w:t>Repository</w:t>
            </w:r>
          </w:p>
        </w:tc>
        <w:tc>
          <w:tcPr>
            <w:tcW w:type="dxa" w:w="7992"/>
            <w:vAlign w:val="center"/>
            <w:tcMar>
              <w:top w:w="80" w:type="dxa"/>
              <w:start w:w="100" w:type="dxa"/>
              <w:bottom w:w="80" w:type="dxa"/>
              <w:end w:w="100" w:type="dxa"/>
            </w:tcMar>
            <w:shd w:fill="F3F6F9"/>
          </w:tcPr>
          <w:p>
            <w:pPr>
              <w:spacing w:after="0" w:before="0"/>
            </w:pPr>
            <w:r/>
            <w:r>
              <w:rPr>
                <w:rFonts w:ascii="Aptos" w:hAnsi="Aptos"/>
                <w:b w:val="0"/>
                <w:sz w:val="15"/>
              </w:rPr>
              <w:t>Persist user profile and membership data only in this service’s database.</w:t>
            </w:r>
          </w:p>
        </w:tc>
      </w:tr>
      <w:tr>
        <w:trPr>
          <w:cantSplit/>
        </w:trPr>
        <w:tc>
          <w:tcPr>
            <w:tcW w:type="dxa" w:w="2232"/>
            <w:vAlign w:val="center"/>
            <w:tcMar>
              <w:top w:w="80" w:type="dxa"/>
              <w:start w:w="100" w:type="dxa"/>
              <w:bottom w:w="80" w:type="dxa"/>
              <w:end w:w="100" w:type="dxa"/>
            </w:tcMar>
          </w:tcPr>
          <w:p>
            <w:pPr>
              <w:spacing w:after="0" w:before="0"/>
            </w:pPr>
            <w:r/>
            <w:r>
              <w:rPr>
                <w:rFonts w:ascii="Aptos" w:hAnsi="Aptos"/>
                <w:b w:val="0"/>
                <w:sz w:val="15"/>
              </w:rPr>
              <w:t>CQRS-lite</w:t>
            </w:r>
          </w:p>
        </w:tc>
        <w:tc>
          <w:tcPr>
            <w:tcW w:type="dxa" w:w="7992"/>
            <w:vAlign w:val="center"/>
            <w:tcMar>
              <w:top w:w="80" w:type="dxa"/>
              <w:start w:w="100" w:type="dxa"/>
              <w:bottom w:w="80" w:type="dxa"/>
              <w:end w:w="100" w:type="dxa"/>
            </w:tcMar>
          </w:tcPr>
          <w:p>
            <w:pPr>
              <w:spacing w:after="0" w:before="0"/>
            </w:pPr>
            <w:r/>
            <w:r>
              <w:rPr>
                <w:rFonts w:ascii="Aptos" w:hAnsi="Aptos"/>
                <w:b w:val="0"/>
                <w:sz w:val="15"/>
              </w:rPr>
              <w:t>Separate user/membership commands from read-optimized directory queries; use this only where admin search/list traffic warrants it.</w:t>
            </w:r>
          </w:p>
        </w:tc>
      </w:tr>
      <w:tr>
        <w:trPr>
          <w:cantSplit/>
        </w:trPr>
        <w:tc>
          <w:tcPr>
            <w:tcW w:type="dxa" w:w="2232"/>
            <w:vAlign w:val="center"/>
            <w:tcMar>
              <w:top w:w="80" w:type="dxa"/>
              <w:start w:w="100" w:type="dxa"/>
              <w:bottom w:w="80" w:type="dxa"/>
              <w:end w:w="100" w:type="dxa"/>
            </w:tcMar>
            <w:shd w:fill="F3F6F9"/>
          </w:tcPr>
          <w:p>
            <w:pPr>
              <w:spacing w:after="0" w:before="0"/>
            </w:pPr>
            <w:r/>
            <w:r>
              <w:rPr>
                <w:rFonts w:ascii="Aptos" w:hAnsi="Aptos"/>
                <w:b w:val="0"/>
                <w:sz w:val="15"/>
              </w:rPr>
              <w:t>Domain Events + Outbox</w:t>
            </w:r>
          </w:p>
        </w:tc>
        <w:tc>
          <w:tcPr>
            <w:tcW w:type="dxa" w:w="7992"/>
            <w:vAlign w:val="center"/>
            <w:tcMar>
              <w:top w:w="80" w:type="dxa"/>
              <w:start w:w="100" w:type="dxa"/>
              <w:bottom w:w="80" w:type="dxa"/>
              <w:end w:w="100" w:type="dxa"/>
            </w:tcMar>
            <w:shd w:fill="F3F6F9"/>
          </w:tcPr>
          <w:p>
            <w:pPr>
              <w:spacing w:after="0" w:before="0"/>
            </w:pPr>
            <w:r/>
            <w:r>
              <w:rPr>
                <w:rFonts w:ascii="Aptos" w:hAnsi="Aptos"/>
                <w:b w:val="0"/>
                <w:sz w:val="15"/>
              </w:rPr>
              <w:t>Publish membership changes for policy, audit and portal projections.</w:t>
            </w:r>
          </w:p>
        </w:tc>
      </w:tr>
    </w:tbl>
    <w:p>
      <w:pPr>
        <w:spacing w:after="20"/>
      </w:pPr>
    </w:p>
    <w:p>
      <w:pPr>
        <w:pStyle w:val="Heading2"/>
        <w:keepNext/>
      </w:pPr>
      <w:r>
        <w:t>Data ownership</w:t>
      </w:r>
    </w:p>
    <w:p>
      <w:pPr>
        <w:spacing w:after="100"/>
      </w:pPr>
      <w:r>
        <w:t>Own database: user_db. Suggested tables: users, external_identities, tenant_memberships, invitations, user_status_history. Do not store passwords, password hashes, access tokens, refresh tokens or MFA secrets when using an external IdP.</w:t>
      </w:r>
    </w:p>
    <w:p>
      <w:pPr>
        <w:pStyle w:val="Heading2"/>
        <w:keepNext/>
      </w:pPr>
      <w:r>
        <w:t>Representative interface</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1944"/>
            <w:vAlign w:val="center"/>
            <w:tcMar>
              <w:top w:w="80" w:type="dxa"/>
              <w:start w:w="100" w:type="dxa"/>
              <w:bottom w:w="80" w:type="dxa"/>
              <w:end w:w="100" w:type="dxa"/>
            </w:tcMar>
            <w:shd w:fill="17365D"/>
          </w:tcPr>
          <w:p>
            <w:pPr>
              <w:spacing w:after="0" w:before="0"/>
            </w:pPr>
            <w:r/>
            <w:r>
              <w:rPr>
                <w:rFonts w:ascii="Aptos" w:hAnsi="Aptos"/>
                <w:b/>
                <w:color w:val="FFFFFF"/>
                <w:sz w:val="15"/>
              </w:rPr>
              <w:t>Type</w:t>
            </w:r>
          </w:p>
        </w:tc>
        <w:tc>
          <w:tcPr>
            <w:tcW w:type="dxa" w:w="8280"/>
            <w:vAlign w:val="center"/>
            <w:tcMar>
              <w:top w:w="80" w:type="dxa"/>
              <w:start w:w="100" w:type="dxa"/>
              <w:bottom w:w="80" w:type="dxa"/>
              <w:end w:w="100" w:type="dxa"/>
            </w:tcMar>
            <w:shd w:fill="17365D"/>
          </w:tcPr>
          <w:p>
            <w:pPr>
              <w:spacing w:after="0" w:before="0"/>
            </w:pPr>
            <w:r/>
            <w:r>
              <w:rPr>
                <w:rFonts w:ascii="Aptos" w:hAnsi="Aptos"/>
                <w:b/>
                <w:color w:val="FFFFFF"/>
                <w:sz w:val="15"/>
              </w:rPr>
              <w:t>Contract / example</w:t>
            </w:r>
          </w:p>
        </w:tc>
      </w:tr>
      <w:tr>
        <w:trPr>
          <w:cantSplit/>
        </w:trPr>
        <w:tc>
          <w:tcPr>
            <w:tcW w:type="dxa" w:w="1944"/>
            <w:vAlign w:val="center"/>
            <w:tcMar>
              <w:top w:w="80" w:type="dxa"/>
              <w:start w:w="100" w:type="dxa"/>
              <w:bottom w:w="80" w:type="dxa"/>
              <w:end w:w="100" w:type="dxa"/>
            </w:tcMar>
            <w:shd w:fill="F3F6F9"/>
          </w:tcPr>
          <w:p>
            <w:pPr>
              <w:spacing w:after="0" w:before="0"/>
            </w:pPr>
            <w:r/>
            <w:r>
              <w:rPr>
                <w:rFonts w:ascii="Aptos" w:hAnsi="Aptos"/>
                <w:b w:val="0"/>
                <w:sz w:val="15"/>
              </w:rPr>
              <w:t>REST</w:t>
            </w:r>
          </w:p>
        </w:tc>
        <w:tc>
          <w:tcPr>
            <w:tcW w:type="dxa" w:w="8280"/>
            <w:vAlign w:val="center"/>
            <w:tcMar>
              <w:top w:w="80" w:type="dxa"/>
              <w:start w:w="100" w:type="dxa"/>
              <w:bottom w:w="80" w:type="dxa"/>
              <w:end w:w="100" w:type="dxa"/>
            </w:tcMar>
            <w:shd w:fill="F3F6F9"/>
          </w:tcPr>
          <w:p>
            <w:pPr>
              <w:spacing w:after="0" w:before="0"/>
            </w:pPr>
            <w:r/>
            <w:r>
              <w:rPr>
                <w:rFonts w:ascii="Aptos" w:hAnsi="Aptos"/>
                <w:b w:val="0"/>
                <w:sz w:val="15"/>
              </w:rPr>
              <w:t>POST /v1/users/provision; GET /v1/users/{userId}; POST /v1/tenants/{tenantId}/memberships; PATCH /v1/memberships/{membershipId}; POST /v1/users/{userId}/deactivate</w:t>
            </w:r>
          </w:p>
        </w:tc>
      </w:tr>
      <w:tr>
        <w:trPr>
          <w:cantSplit/>
        </w:trPr>
        <w:tc>
          <w:tcPr>
            <w:tcW w:type="dxa" w:w="1944"/>
            <w:vAlign w:val="center"/>
            <w:tcMar>
              <w:top w:w="80" w:type="dxa"/>
              <w:start w:w="100" w:type="dxa"/>
              <w:bottom w:w="80" w:type="dxa"/>
              <w:end w:w="100" w:type="dxa"/>
            </w:tcMar>
          </w:tcPr>
          <w:p>
            <w:pPr>
              <w:spacing w:after="0" w:before="0"/>
            </w:pPr>
            <w:r/>
            <w:r>
              <w:rPr>
                <w:rFonts w:ascii="Aptos" w:hAnsi="Aptos"/>
                <w:b w:val="0"/>
                <w:sz w:val="15"/>
              </w:rPr>
              <w:t>Events out</w:t>
            </w:r>
          </w:p>
        </w:tc>
        <w:tc>
          <w:tcPr>
            <w:tcW w:type="dxa" w:w="8280"/>
            <w:vAlign w:val="center"/>
            <w:tcMar>
              <w:top w:w="80" w:type="dxa"/>
              <w:start w:w="100" w:type="dxa"/>
              <w:bottom w:w="80" w:type="dxa"/>
              <w:end w:w="100" w:type="dxa"/>
            </w:tcMar>
          </w:tcPr>
          <w:p>
            <w:pPr>
              <w:spacing w:after="0" w:before="0"/>
            </w:pPr>
            <w:r/>
            <w:r>
              <w:rPr>
                <w:rFonts w:ascii="Aptos" w:hAnsi="Aptos"/>
                <w:b w:val="0"/>
                <w:sz w:val="15"/>
              </w:rPr>
              <w:t>UserProvisioned, UserProfileChanged, UserDeactivated, TenantMembershipChanged</w:t>
            </w:r>
          </w:p>
        </w:tc>
      </w:tr>
      <w:tr>
        <w:trPr>
          <w:cantSplit/>
        </w:trPr>
        <w:tc>
          <w:tcPr>
            <w:tcW w:type="dxa" w:w="1944"/>
            <w:vAlign w:val="center"/>
            <w:tcMar>
              <w:top w:w="80" w:type="dxa"/>
              <w:start w:w="100" w:type="dxa"/>
              <w:bottom w:w="80" w:type="dxa"/>
              <w:end w:w="100" w:type="dxa"/>
            </w:tcMar>
            <w:shd w:fill="F3F6F9"/>
          </w:tcPr>
          <w:p>
            <w:pPr>
              <w:spacing w:after="0" w:before="0"/>
            </w:pPr>
            <w:r/>
            <w:r>
              <w:rPr>
                <w:rFonts w:ascii="Aptos" w:hAnsi="Aptos"/>
                <w:b w:val="0"/>
                <w:sz w:val="15"/>
              </w:rPr>
              <w:t>Events in</w:t>
            </w:r>
          </w:p>
        </w:tc>
        <w:tc>
          <w:tcPr>
            <w:tcW w:type="dxa" w:w="8280"/>
            <w:vAlign w:val="center"/>
            <w:tcMar>
              <w:top w:w="80" w:type="dxa"/>
              <w:start w:w="100" w:type="dxa"/>
              <w:bottom w:w="80" w:type="dxa"/>
              <w:end w:w="100" w:type="dxa"/>
            </w:tcMar>
            <w:shd w:fill="F3F6F9"/>
          </w:tcPr>
          <w:p>
            <w:pPr>
              <w:spacing w:after="0" w:before="0"/>
            </w:pPr>
            <w:r/>
            <w:r>
              <w:rPr>
                <w:rFonts w:ascii="Aptos" w:hAnsi="Aptos"/>
                <w:b w:val="0"/>
                <w:sz w:val="15"/>
              </w:rPr>
              <w:t>IdP/SCIM lifecycle notifications, where supported.</w:t>
            </w:r>
          </w:p>
        </w:tc>
      </w:tr>
    </w:tbl>
    <w:p>
      <w:pPr>
        <w:spacing w:after="20"/>
      </w:pPr>
    </w:p>
    <w:p>
      <w:pPr>
        <w:pStyle w:val="Heading2"/>
        <w:keepNext/>
      </w:pPr>
      <w:r>
        <w:t>Must not own / boundary rules</w:t>
      </w:r>
    </w:p>
    <w:p>
      <w:pPr>
        <w:pStyle w:val="ListBullet"/>
        <w:keepLines/>
        <w:spacing w:after="40"/>
      </w:pPr>
      <w:r>
        <w:t>Does not issue access tokens or implement password authentication.</w:t>
      </w:r>
    </w:p>
    <w:p>
      <w:pPr>
        <w:pStyle w:val="ListBullet"/>
        <w:keepLines/>
        <w:spacing w:after="40"/>
      </w:pPr>
      <w:r>
        <w:t>Does not decide whether a user can execute a specific tool or access a specific record; Access Policy Service owns authorization decisions.</w:t>
      </w:r>
    </w:p>
    <w:p>
      <w:pPr>
        <w:pStyle w:val="ListBullet"/>
        <w:keepLines/>
        <w:spacing w:after="40"/>
      </w:pPr>
      <w:r>
        <w:t>Does not own role/permission policy definitions.</w:t>
      </w:r>
    </w:p>
    <w:p>
      <w:pPr>
        <w:pStyle w:val="Heading2"/>
        <w:keepNext/>
      </w:pPr>
      <w:r>
        <w:t>Key implementation notes</w:t>
      </w:r>
    </w:p>
    <w:p>
      <w:pPr>
        <w:pStyle w:val="ListBullet"/>
        <w:keepLines/>
        <w:spacing w:after="40"/>
      </w:pPr>
      <w:r>
        <w:t>Use immutable external identity keys (issuer + subject), not email address, as the durable identity mapping.</w:t>
      </w:r>
    </w:p>
    <w:p>
      <w:pPr>
        <w:pStyle w:val="ListBullet"/>
        <w:keepLines/>
        <w:spacing w:after="40"/>
      </w:pPr>
      <w:r>
        <w:t>Propagate user ID and tenant membership context through signed tokens or trusted claims; avoid trusting UI-supplied user IDs.</w:t>
      </w:r>
    </w:p>
    <w:p>
      <w:pPr>
        <w:pStyle w:val="Heading1"/>
        <w:keepNext/>
      </w:pPr>
      <w:r>
        <w:t>03. Access Policy Service</w:t>
      </w:r>
    </w:p>
    <w:p>
      <w:pPr>
        <w:keepNext/>
        <w:spacing w:after="140"/>
      </w:pPr>
      <w:r>
        <w:rPr>
          <w:i/>
          <w:color w:val="4B6982"/>
          <w:sz w:val="20"/>
        </w:rPr>
        <w:t>Control Plane / Security Plane | Central policy decision point</w:t>
      </w:r>
    </w:p>
    <w:p>
      <w:pPr>
        <w:pStyle w:val="Heading2"/>
        <w:keepNext/>
      </w:pPr>
      <w:r>
        <w:t>Purpose and bounded context</w:t>
      </w:r>
    </w:p>
    <w:p>
      <w:pPr>
        <w:spacing w:after="100"/>
      </w:pPr>
      <w:r>
        <w:t>Owns authorization policy and answers whether a given subject may perform an action on a tool or resource within a tenant. It implements the document’s RBAC and record-scoped authorization guard.</w:t>
      </w:r>
    </w:p>
    <w:p>
      <w:pPr>
        <w:pStyle w:val="Heading2"/>
        <w:keepNext/>
      </w:pPr>
      <w:r>
        <w:t>Responsibilities</w:t>
      </w:r>
    </w:p>
    <w:p>
      <w:pPr>
        <w:pStyle w:val="ListBullet"/>
        <w:keepLines/>
        <w:spacing w:after="40"/>
      </w:pPr>
      <w:r>
        <w:t>Maintain roles, permissions, role-permission mappings and tool/resource grants.</w:t>
      </w:r>
    </w:p>
    <w:p>
      <w:pPr>
        <w:pStyle w:val="ListBullet"/>
        <w:keepLines/>
        <w:spacing w:after="40"/>
      </w:pPr>
      <w:r>
        <w:t>Evaluate user, tenant, role, tool, action and resource context.</w:t>
      </w:r>
    </w:p>
    <w:p>
      <w:pPr>
        <w:pStyle w:val="ListBullet"/>
        <w:keepLines/>
        <w:spacing w:after="40"/>
      </w:pPr>
      <w:r>
        <w:t>Return allow/deny plus a reason code and policy version.</w:t>
      </w:r>
    </w:p>
    <w:p>
      <w:pPr>
        <w:pStyle w:val="ListBullet"/>
        <w:keepLines/>
        <w:spacing w:after="40"/>
      </w:pPr>
      <w:r>
        <w:t>Support admin policy changes, policy validation and policy version publication.</w:t>
      </w:r>
    </w:p>
    <w:p>
      <w:pPr>
        <w:pStyle w:val="ListBullet"/>
        <w:keepLines/>
        <w:spacing w:after="40"/>
      </w:pPr>
      <w:r>
        <w:t>Provide a low-latency authorization API to MCP Gateway and, where necessary, other service boundaries.</w:t>
      </w:r>
    </w:p>
    <w:p>
      <w:pPr>
        <w:pStyle w:val="Heading2"/>
        <w:keepNext/>
      </w:pPr>
      <w:r>
        <w:t>Recommended design patterns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232"/>
            <w:vAlign w:val="center"/>
            <w:tcMar>
              <w:top w:w="80" w:type="dxa"/>
              <w:start w:w="100" w:type="dxa"/>
              <w:bottom w:w="80" w:type="dxa"/>
              <w:end w:w="100" w:type="dxa"/>
            </w:tcMar>
            <w:shd w:fill="17365D"/>
          </w:tcPr>
          <w:p>
            <w:pPr>
              <w:spacing w:after="0" w:before="0"/>
            </w:pPr>
            <w:r/>
            <w:r>
              <w:rPr>
                <w:rFonts w:ascii="Aptos" w:hAnsi="Aptos"/>
                <w:b/>
                <w:color w:val="FFFFFF"/>
                <w:sz w:val="15"/>
              </w:rPr>
              <w:t>Pattern</w:t>
            </w:r>
          </w:p>
        </w:tc>
        <w:tc>
          <w:tcPr>
            <w:tcW w:type="dxa" w:w="7992"/>
            <w:vAlign w:val="center"/>
            <w:tcMar>
              <w:top w:w="80" w:type="dxa"/>
              <w:start w:w="100" w:type="dxa"/>
              <w:bottom w:w="80" w:type="dxa"/>
              <w:end w:w="100" w:type="dxa"/>
            </w:tcMar>
            <w:shd w:fill="17365D"/>
          </w:tcPr>
          <w:p>
            <w:pPr>
              <w:spacing w:after="0" w:before="0"/>
            </w:pPr>
            <w:r/>
            <w:r>
              <w:rPr>
                <w:rFonts w:ascii="Aptos" w:hAnsi="Aptos"/>
                <w:b/>
                <w:color w:val="FFFFFF"/>
                <w:sz w:val="15"/>
              </w:rPr>
              <w:t>How to apply it here</w:t>
            </w:r>
          </w:p>
        </w:tc>
      </w:tr>
      <w:tr>
        <w:trPr>
          <w:cantSplit/>
        </w:trPr>
        <w:tc>
          <w:tcPr>
            <w:tcW w:type="dxa" w:w="2232"/>
            <w:vAlign w:val="center"/>
            <w:tcMar>
              <w:top w:w="80" w:type="dxa"/>
              <w:start w:w="100" w:type="dxa"/>
              <w:bottom w:w="80" w:type="dxa"/>
              <w:end w:w="100" w:type="dxa"/>
            </w:tcMar>
            <w:shd w:fill="F3F6F9"/>
          </w:tcPr>
          <w:p>
            <w:pPr>
              <w:spacing w:after="0" w:before="0"/>
            </w:pPr>
            <w:r/>
            <w:r>
              <w:rPr>
                <w:rFonts w:ascii="Aptos" w:hAnsi="Aptos"/>
                <w:b w:val="0"/>
                <w:sz w:val="15"/>
              </w:rPr>
              <w:t>PDP / PEP</w:t>
            </w:r>
          </w:p>
        </w:tc>
        <w:tc>
          <w:tcPr>
            <w:tcW w:type="dxa" w:w="7992"/>
            <w:vAlign w:val="center"/>
            <w:tcMar>
              <w:top w:w="80" w:type="dxa"/>
              <w:start w:w="100" w:type="dxa"/>
              <w:bottom w:w="80" w:type="dxa"/>
              <w:end w:w="100" w:type="dxa"/>
            </w:tcMar>
            <w:shd w:fill="F3F6F9"/>
          </w:tcPr>
          <w:p>
            <w:pPr>
              <w:spacing w:after="0" w:before="0"/>
            </w:pPr>
            <w:r/>
            <w:r>
              <w:rPr>
                <w:rFonts w:ascii="Aptos" w:hAnsi="Aptos"/>
                <w:b w:val="0"/>
                <w:sz w:val="15"/>
              </w:rPr>
              <w:t>This service is the Policy Decision Point (PDP); MCP Gateway and service boundaries are Policy Enforcement Points (PEPs) that must enforce its decisions.</w:t>
            </w:r>
          </w:p>
        </w:tc>
      </w:tr>
      <w:tr>
        <w:trPr>
          <w:cantSplit/>
        </w:trPr>
        <w:tc>
          <w:tcPr>
            <w:tcW w:type="dxa" w:w="2232"/>
            <w:vAlign w:val="center"/>
            <w:tcMar>
              <w:top w:w="80" w:type="dxa"/>
              <w:start w:w="100" w:type="dxa"/>
              <w:bottom w:w="80" w:type="dxa"/>
              <w:end w:w="100" w:type="dxa"/>
            </w:tcMar>
          </w:tcPr>
          <w:p>
            <w:pPr>
              <w:spacing w:after="0" w:before="0"/>
            </w:pPr>
            <w:r/>
            <w:r>
              <w:rPr>
                <w:rFonts w:ascii="Aptos" w:hAnsi="Aptos"/>
                <w:b w:val="0"/>
                <w:sz w:val="15"/>
              </w:rPr>
              <w:t>Specification</w:t>
            </w:r>
          </w:p>
        </w:tc>
        <w:tc>
          <w:tcPr>
            <w:tcW w:type="dxa" w:w="7992"/>
            <w:vAlign w:val="center"/>
            <w:tcMar>
              <w:top w:w="80" w:type="dxa"/>
              <w:start w:w="100" w:type="dxa"/>
              <w:bottom w:w="80" w:type="dxa"/>
              <w:end w:w="100" w:type="dxa"/>
            </w:tcMar>
          </w:tcPr>
          <w:p>
            <w:pPr>
              <w:spacing w:after="0" w:before="0"/>
            </w:pPr>
            <w:r/>
            <w:r>
              <w:rPr>
                <w:rFonts w:ascii="Aptos" w:hAnsi="Aptos"/>
                <w:b w:val="0"/>
                <w:sz w:val="15"/>
              </w:rPr>
              <w:t>Represent permissions as composable predicates: tenant match, active membership, role grant, tool grant and resource scope.</w:t>
            </w:r>
          </w:p>
        </w:tc>
      </w:tr>
      <w:tr>
        <w:trPr>
          <w:cantSplit/>
        </w:trPr>
        <w:tc>
          <w:tcPr>
            <w:tcW w:type="dxa" w:w="2232"/>
            <w:vAlign w:val="center"/>
            <w:tcMar>
              <w:top w:w="80" w:type="dxa"/>
              <w:start w:w="100" w:type="dxa"/>
              <w:bottom w:w="80" w:type="dxa"/>
              <w:end w:w="100" w:type="dxa"/>
            </w:tcMar>
            <w:shd w:fill="F3F6F9"/>
          </w:tcPr>
          <w:p>
            <w:pPr>
              <w:spacing w:after="0" w:before="0"/>
            </w:pPr>
            <w:r/>
            <w:r>
              <w:rPr>
                <w:rFonts w:ascii="Aptos" w:hAnsi="Aptos"/>
                <w:b w:val="0"/>
                <w:sz w:val="15"/>
              </w:rPr>
              <w:t>Chain of Responsibility</w:t>
            </w:r>
          </w:p>
        </w:tc>
        <w:tc>
          <w:tcPr>
            <w:tcW w:type="dxa" w:w="7992"/>
            <w:vAlign w:val="center"/>
            <w:tcMar>
              <w:top w:w="80" w:type="dxa"/>
              <w:start w:w="100" w:type="dxa"/>
              <w:bottom w:w="80" w:type="dxa"/>
              <w:end w:w="100" w:type="dxa"/>
            </w:tcMar>
            <w:shd w:fill="F3F6F9"/>
          </w:tcPr>
          <w:p>
            <w:pPr>
              <w:spacing w:after="0" w:before="0"/>
            </w:pPr>
            <w:r/>
            <w:r>
              <w:rPr>
                <w:rFonts w:ascii="Aptos" w:hAnsi="Aptos"/>
                <w:b w:val="0"/>
                <w:sz w:val="15"/>
              </w:rPr>
              <w:t>Evaluate mandatory checks in order: identity validity → tenant membership → tool permission → resource-level permission. Stop on a deny.</w:t>
            </w:r>
          </w:p>
        </w:tc>
      </w:tr>
      <w:tr>
        <w:trPr>
          <w:cantSplit/>
        </w:trPr>
        <w:tc>
          <w:tcPr>
            <w:tcW w:type="dxa" w:w="2232"/>
            <w:vAlign w:val="center"/>
            <w:tcMar>
              <w:top w:w="80" w:type="dxa"/>
              <w:start w:w="100" w:type="dxa"/>
              <w:bottom w:w="80" w:type="dxa"/>
              <w:end w:w="100" w:type="dxa"/>
            </w:tcMar>
          </w:tcPr>
          <w:p>
            <w:pPr>
              <w:spacing w:after="0" w:before="0"/>
            </w:pPr>
            <w:r/>
            <w:r>
              <w:rPr>
                <w:rFonts w:ascii="Aptos" w:hAnsi="Aptos"/>
                <w:b w:val="0"/>
                <w:sz w:val="15"/>
              </w:rPr>
              <w:t>Strategy</w:t>
            </w:r>
          </w:p>
        </w:tc>
        <w:tc>
          <w:tcPr>
            <w:tcW w:type="dxa" w:w="7992"/>
            <w:vAlign w:val="center"/>
            <w:tcMar>
              <w:top w:w="80" w:type="dxa"/>
              <w:start w:w="100" w:type="dxa"/>
              <w:bottom w:w="80" w:type="dxa"/>
              <w:end w:w="100" w:type="dxa"/>
            </w:tcMar>
          </w:tcPr>
          <w:p>
            <w:pPr>
              <w:spacing w:after="0" w:before="0"/>
            </w:pPr>
            <w:r/>
            <w:r>
              <w:rPr>
                <w:rFonts w:ascii="Aptos" w:hAnsi="Aptos"/>
                <w:b w:val="0"/>
                <w:sz w:val="15"/>
              </w:rPr>
              <w:t>Allow different policy evaluation strategies (RBAC now, ABAC/resource attributes later) behind one policy interface.</w:t>
            </w:r>
          </w:p>
        </w:tc>
      </w:tr>
      <w:tr>
        <w:trPr>
          <w:cantSplit/>
        </w:trPr>
        <w:tc>
          <w:tcPr>
            <w:tcW w:type="dxa" w:w="2232"/>
            <w:vAlign w:val="center"/>
            <w:tcMar>
              <w:top w:w="80" w:type="dxa"/>
              <w:start w:w="100" w:type="dxa"/>
              <w:bottom w:w="80" w:type="dxa"/>
              <w:end w:w="100" w:type="dxa"/>
            </w:tcMar>
            <w:shd w:fill="F3F6F9"/>
          </w:tcPr>
          <w:p>
            <w:pPr>
              <w:spacing w:after="0" w:before="0"/>
            </w:pPr>
            <w:r/>
            <w:r>
              <w:rPr>
                <w:rFonts w:ascii="Aptos" w:hAnsi="Aptos"/>
                <w:b w:val="0"/>
                <w:sz w:val="15"/>
              </w:rPr>
              <w:t>Versioned cache / Decorator</w:t>
            </w:r>
          </w:p>
        </w:tc>
        <w:tc>
          <w:tcPr>
            <w:tcW w:type="dxa" w:w="7992"/>
            <w:vAlign w:val="center"/>
            <w:tcMar>
              <w:top w:w="80" w:type="dxa"/>
              <w:start w:w="100" w:type="dxa"/>
              <w:bottom w:w="80" w:type="dxa"/>
              <w:end w:w="100" w:type="dxa"/>
            </w:tcMar>
            <w:shd w:fill="F3F6F9"/>
          </w:tcPr>
          <w:p>
            <w:pPr>
              <w:spacing w:after="0" w:before="0"/>
            </w:pPr>
            <w:r/>
            <w:r>
              <w:rPr>
                <w:rFonts w:ascii="Aptos" w:hAnsi="Aptos"/>
                <w:b w:val="0"/>
                <w:sz w:val="15"/>
              </w:rPr>
              <w:t>Cache decisions briefly using subject, tenant, action, resource and policy version as the key; invalidate on policy changes.</w:t>
            </w:r>
          </w:p>
        </w:tc>
      </w:tr>
    </w:tbl>
    <w:p>
      <w:pPr>
        <w:spacing w:after="20"/>
      </w:pPr>
    </w:p>
    <w:p>
      <w:pPr>
        <w:pStyle w:val="Heading2"/>
        <w:keepNext/>
      </w:pPr>
      <w:r>
        <w:t>Data ownership</w:t>
      </w:r>
    </w:p>
    <w:p>
      <w:pPr>
        <w:spacing w:after="100"/>
      </w:pPr>
      <w:r>
        <w:t>Own database: access_policy_db. Suggested tables: roles, permissions, role_permissions, user_role_assignments, tool_grants, resource_scope_policies, policy_versions. Do not copy full user profiles; reference stable user and tenant IDs.</w:t>
      </w:r>
    </w:p>
    <w:p>
      <w:pPr>
        <w:pStyle w:val="Heading2"/>
        <w:keepNext/>
      </w:pPr>
      <w:r>
        <w:t>Representative interface</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1944"/>
            <w:vAlign w:val="center"/>
            <w:tcMar>
              <w:top w:w="80" w:type="dxa"/>
              <w:start w:w="100" w:type="dxa"/>
              <w:bottom w:w="80" w:type="dxa"/>
              <w:end w:w="100" w:type="dxa"/>
            </w:tcMar>
            <w:shd w:fill="17365D"/>
          </w:tcPr>
          <w:p>
            <w:pPr>
              <w:spacing w:after="0" w:before="0"/>
            </w:pPr>
            <w:r/>
            <w:r>
              <w:rPr>
                <w:rFonts w:ascii="Aptos" w:hAnsi="Aptos"/>
                <w:b/>
                <w:color w:val="FFFFFF"/>
                <w:sz w:val="15"/>
              </w:rPr>
              <w:t>Type</w:t>
            </w:r>
          </w:p>
        </w:tc>
        <w:tc>
          <w:tcPr>
            <w:tcW w:type="dxa" w:w="8280"/>
            <w:vAlign w:val="center"/>
            <w:tcMar>
              <w:top w:w="80" w:type="dxa"/>
              <w:start w:w="100" w:type="dxa"/>
              <w:bottom w:w="80" w:type="dxa"/>
              <w:end w:w="100" w:type="dxa"/>
            </w:tcMar>
            <w:shd w:fill="17365D"/>
          </w:tcPr>
          <w:p>
            <w:pPr>
              <w:spacing w:after="0" w:before="0"/>
            </w:pPr>
            <w:r/>
            <w:r>
              <w:rPr>
                <w:rFonts w:ascii="Aptos" w:hAnsi="Aptos"/>
                <w:b/>
                <w:color w:val="FFFFFF"/>
                <w:sz w:val="15"/>
              </w:rPr>
              <w:t>Contract / example</w:t>
            </w:r>
          </w:p>
        </w:tc>
      </w:tr>
      <w:tr>
        <w:trPr>
          <w:cantSplit/>
        </w:trPr>
        <w:tc>
          <w:tcPr>
            <w:tcW w:type="dxa" w:w="1944"/>
            <w:vAlign w:val="center"/>
            <w:tcMar>
              <w:top w:w="80" w:type="dxa"/>
              <w:start w:w="100" w:type="dxa"/>
              <w:bottom w:w="80" w:type="dxa"/>
              <w:end w:w="100" w:type="dxa"/>
            </w:tcMar>
            <w:shd w:fill="F3F6F9"/>
          </w:tcPr>
          <w:p>
            <w:pPr>
              <w:spacing w:after="0" w:before="0"/>
            </w:pPr>
            <w:r/>
            <w:r>
              <w:rPr>
                <w:rFonts w:ascii="Aptos" w:hAnsi="Aptos"/>
                <w:b w:val="0"/>
                <w:sz w:val="15"/>
              </w:rPr>
              <w:t>REST/gRPC</w:t>
            </w:r>
          </w:p>
        </w:tc>
        <w:tc>
          <w:tcPr>
            <w:tcW w:type="dxa" w:w="8280"/>
            <w:vAlign w:val="center"/>
            <w:tcMar>
              <w:top w:w="80" w:type="dxa"/>
              <w:start w:w="100" w:type="dxa"/>
              <w:bottom w:w="80" w:type="dxa"/>
              <w:end w:w="100" w:type="dxa"/>
            </w:tcMar>
            <w:shd w:fill="F3F6F9"/>
          </w:tcPr>
          <w:p>
            <w:pPr>
              <w:spacing w:after="0" w:before="0"/>
            </w:pPr>
            <w:r/>
            <w:r>
              <w:rPr>
                <w:rFonts w:ascii="Aptos" w:hAnsi="Aptos"/>
                <w:b w:val="0"/>
                <w:sz w:val="15"/>
              </w:rPr>
              <w:t>POST /internal/v1/decisions/evaluate with subject, tenant, action, tool, resource and context; returns ALLOW/DENY, reasonCode and policyVersion.</w:t>
            </w:r>
          </w:p>
        </w:tc>
      </w:tr>
      <w:tr>
        <w:trPr>
          <w:cantSplit/>
        </w:trPr>
        <w:tc>
          <w:tcPr>
            <w:tcW w:type="dxa" w:w="1944"/>
            <w:vAlign w:val="center"/>
            <w:tcMar>
              <w:top w:w="80" w:type="dxa"/>
              <w:start w:w="100" w:type="dxa"/>
              <w:bottom w:w="80" w:type="dxa"/>
              <w:end w:w="100" w:type="dxa"/>
            </w:tcMar>
          </w:tcPr>
          <w:p>
            <w:pPr>
              <w:spacing w:after="0" w:before="0"/>
            </w:pPr>
            <w:r/>
            <w:r>
              <w:rPr>
                <w:rFonts w:ascii="Aptos" w:hAnsi="Aptos"/>
                <w:b w:val="0"/>
                <w:sz w:val="15"/>
              </w:rPr>
              <w:t>REST</w:t>
            </w:r>
          </w:p>
        </w:tc>
        <w:tc>
          <w:tcPr>
            <w:tcW w:type="dxa" w:w="8280"/>
            <w:vAlign w:val="center"/>
            <w:tcMar>
              <w:top w:w="80" w:type="dxa"/>
              <w:start w:w="100" w:type="dxa"/>
              <w:bottom w:w="80" w:type="dxa"/>
              <w:end w:w="100" w:type="dxa"/>
            </w:tcMar>
          </w:tcPr>
          <w:p>
            <w:pPr>
              <w:spacing w:after="0" w:before="0"/>
            </w:pPr>
            <w:r/>
            <w:r>
              <w:rPr>
                <w:rFonts w:ascii="Aptos" w:hAnsi="Aptos"/>
                <w:b w:val="0"/>
                <w:sz w:val="15"/>
              </w:rPr>
              <w:t>POST /v1/roles; POST /v1/policies; POST /v1/policies/{id}/publish</w:t>
            </w:r>
          </w:p>
        </w:tc>
      </w:tr>
      <w:tr>
        <w:trPr>
          <w:cantSplit/>
        </w:trPr>
        <w:tc>
          <w:tcPr>
            <w:tcW w:type="dxa" w:w="1944"/>
            <w:vAlign w:val="center"/>
            <w:tcMar>
              <w:top w:w="80" w:type="dxa"/>
              <w:start w:w="100" w:type="dxa"/>
              <w:bottom w:w="80" w:type="dxa"/>
              <w:end w:w="100" w:type="dxa"/>
            </w:tcMar>
            <w:shd w:fill="F3F6F9"/>
          </w:tcPr>
          <w:p>
            <w:pPr>
              <w:spacing w:after="0" w:before="0"/>
            </w:pPr>
            <w:r/>
            <w:r>
              <w:rPr>
                <w:rFonts w:ascii="Aptos" w:hAnsi="Aptos"/>
                <w:b w:val="0"/>
                <w:sz w:val="15"/>
              </w:rPr>
              <w:t>Events out</w:t>
            </w:r>
          </w:p>
        </w:tc>
        <w:tc>
          <w:tcPr>
            <w:tcW w:type="dxa" w:w="8280"/>
            <w:vAlign w:val="center"/>
            <w:tcMar>
              <w:top w:w="80" w:type="dxa"/>
              <w:start w:w="100" w:type="dxa"/>
              <w:bottom w:w="80" w:type="dxa"/>
              <w:end w:w="100" w:type="dxa"/>
            </w:tcMar>
            <w:shd w:fill="F3F6F9"/>
          </w:tcPr>
          <w:p>
            <w:pPr>
              <w:spacing w:after="0" w:before="0"/>
            </w:pPr>
            <w:r/>
            <w:r>
              <w:rPr>
                <w:rFonts w:ascii="Aptos" w:hAnsi="Aptos"/>
                <w:b w:val="0"/>
                <w:sz w:val="15"/>
              </w:rPr>
              <w:t>PolicyChanged, RoleAssignmentChanged, ToolGrantChanged</w:t>
            </w:r>
          </w:p>
        </w:tc>
      </w:tr>
    </w:tbl>
    <w:p>
      <w:pPr>
        <w:spacing w:after="20"/>
      </w:pPr>
    </w:p>
    <w:p>
      <w:pPr>
        <w:pStyle w:val="Heading2"/>
        <w:keepNext/>
      </w:pPr>
      <w:r>
        <w:t>Must not own / boundary rules</w:t>
      </w:r>
    </w:p>
    <w:p>
      <w:pPr>
        <w:pStyle w:val="ListBullet"/>
        <w:keepLines/>
        <w:spacing w:after="40"/>
      </w:pPr>
      <w:r>
        <w:t>Does not authenticate the user; it consumes validated identity claims.</w:t>
      </w:r>
    </w:p>
    <w:p>
      <w:pPr>
        <w:pStyle w:val="ListBullet"/>
        <w:keepLines/>
        <w:spacing w:after="40"/>
      </w:pPr>
      <w:r>
        <w:t>Does not fetch the protected business record itself. The source API must still enforce delegated identity and its own record authorization.</w:t>
      </w:r>
    </w:p>
    <w:p>
      <w:pPr>
        <w:pStyle w:val="ListBullet"/>
        <w:keepLines/>
        <w:spacing w:after="40"/>
      </w:pPr>
      <w:r>
        <w:t>Does not store connector secrets or execute business tools.</w:t>
      </w:r>
    </w:p>
    <w:p>
      <w:pPr>
        <w:pStyle w:val="Heading2"/>
        <w:keepNext/>
      </w:pPr>
      <w:r>
        <w:t>Key implementation notes</w:t>
      </w:r>
    </w:p>
    <w:p>
      <w:pPr>
        <w:pStyle w:val="ListBullet"/>
        <w:keepLines/>
        <w:spacing w:after="40"/>
      </w:pPr>
      <w:r>
        <w:t>A deny decision must fail closed. If the policy service is unavailable, protected tool execution should not proceed unless an explicitly approved, narrowly scoped cached decision is still valid.</w:t>
      </w:r>
    </w:p>
    <w:p>
      <w:pPr>
        <w:pStyle w:val="ListBullet"/>
        <w:keepLines/>
        <w:spacing w:after="40"/>
      </w:pPr>
      <w:r>
        <w:t>Record-level authorization is mandatory for client-scoped tools; a role-only check is insufficient.</w:t>
      </w:r>
    </w:p>
    <w:p>
      <w:pPr>
        <w:pStyle w:val="Heading1"/>
        <w:keepNext/>
      </w:pPr>
      <w:r>
        <w:t>04. Blueprint Management Service</w:t>
      </w:r>
    </w:p>
    <w:p>
      <w:pPr>
        <w:keepNext/>
        <w:spacing w:after="140"/>
      </w:pPr>
      <w:r>
        <w:rPr>
          <w:i/>
          <w:color w:val="4B6982"/>
          <w:sz w:val="20"/>
        </w:rPr>
        <w:t>Control Plane | Owns versioned execution recipes and rule definitions</w:t>
      </w:r>
    </w:p>
    <w:p>
      <w:pPr>
        <w:pStyle w:val="Heading2"/>
        <w:keepNext/>
      </w:pPr>
      <w:r>
        <w:t>Purpose and bounded context</w:t>
      </w:r>
    </w:p>
    <w:p>
      <w:pPr>
        <w:spacing w:after="100"/>
      </w:pPr>
      <w:r>
        <w:t>Owns the editable JSON blueprint that describes how a tool obtains source data, maps it, and applies deterministic business rules. It manages the blueprint lifecycle but does not execute the blueprint.</w:t>
      </w:r>
    </w:p>
    <w:p>
      <w:pPr>
        <w:pStyle w:val="Heading2"/>
        <w:keepNext/>
      </w:pPr>
      <w:r>
        <w:t>Responsibilities</w:t>
      </w:r>
    </w:p>
    <w:p>
      <w:pPr>
        <w:pStyle w:val="ListBullet"/>
        <w:keepLines/>
        <w:spacing w:after="40"/>
      </w:pPr>
      <w:r>
        <w:t>Create, edit, validate, version, publish, retire and roll back blueprints.</w:t>
      </w:r>
    </w:p>
    <w:p>
      <w:pPr>
        <w:pStyle w:val="ListBullet"/>
        <w:keepLines/>
        <w:spacing w:after="40"/>
      </w:pPr>
      <w:r>
        <w:t>Validate blueprint schema, connector references, input schema and rule syntax before publication.</w:t>
      </w:r>
    </w:p>
    <w:p>
      <w:pPr>
        <w:pStyle w:val="ListBullet"/>
        <w:keepLines/>
        <w:spacing w:after="40"/>
      </w:pPr>
      <w:r>
        <w:t>Maintain immutable published versions and a draft/published lifecycle.</w:t>
      </w:r>
    </w:p>
    <w:p>
      <w:pPr>
        <w:pStyle w:val="ListBullet"/>
        <w:keepLines/>
        <w:spacing w:after="40"/>
      </w:pPr>
      <w:r>
        <w:t>Enforce tenant ownership and administrative permissions.</w:t>
      </w:r>
    </w:p>
    <w:p>
      <w:pPr>
        <w:pStyle w:val="ListBullet"/>
        <w:keepLines/>
        <w:spacing w:after="40"/>
      </w:pPr>
      <w:r>
        <w:t>Emit BlueprintValidated, BlueprintPublished and BlueprintRetired events.</w:t>
      </w:r>
    </w:p>
    <w:p>
      <w:pPr>
        <w:pStyle w:val="Heading2"/>
        <w:keepNext/>
      </w:pPr>
      <w:r>
        <w:t>Recommended design patterns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232"/>
            <w:vAlign w:val="center"/>
            <w:tcMar>
              <w:top w:w="80" w:type="dxa"/>
              <w:start w:w="100" w:type="dxa"/>
              <w:bottom w:w="80" w:type="dxa"/>
              <w:end w:w="100" w:type="dxa"/>
            </w:tcMar>
            <w:shd w:fill="17365D"/>
          </w:tcPr>
          <w:p>
            <w:pPr>
              <w:spacing w:after="0" w:before="0"/>
            </w:pPr>
            <w:r/>
            <w:r>
              <w:rPr>
                <w:rFonts w:ascii="Aptos" w:hAnsi="Aptos"/>
                <w:b/>
                <w:color w:val="FFFFFF"/>
                <w:sz w:val="15"/>
              </w:rPr>
              <w:t>Pattern</w:t>
            </w:r>
          </w:p>
        </w:tc>
        <w:tc>
          <w:tcPr>
            <w:tcW w:type="dxa" w:w="7992"/>
            <w:vAlign w:val="center"/>
            <w:tcMar>
              <w:top w:w="80" w:type="dxa"/>
              <w:start w:w="100" w:type="dxa"/>
              <w:bottom w:w="80" w:type="dxa"/>
              <w:end w:w="100" w:type="dxa"/>
            </w:tcMar>
            <w:shd w:fill="17365D"/>
          </w:tcPr>
          <w:p>
            <w:pPr>
              <w:spacing w:after="0" w:before="0"/>
            </w:pPr>
            <w:r/>
            <w:r>
              <w:rPr>
                <w:rFonts w:ascii="Aptos" w:hAnsi="Aptos"/>
                <w:b/>
                <w:color w:val="FFFFFF"/>
                <w:sz w:val="15"/>
              </w:rPr>
              <w:t>How to apply it here</w:t>
            </w:r>
          </w:p>
        </w:tc>
      </w:tr>
      <w:tr>
        <w:trPr>
          <w:cantSplit/>
        </w:trPr>
        <w:tc>
          <w:tcPr>
            <w:tcW w:type="dxa" w:w="2232"/>
            <w:vAlign w:val="center"/>
            <w:tcMar>
              <w:top w:w="80" w:type="dxa"/>
              <w:start w:w="100" w:type="dxa"/>
              <w:bottom w:w="80" w:type="dxa"/>
              <w:end w:w="100" w:type="dxa"/>
            </w:tcMar>
            <w:shd w:fill="F3F6F9"/>
          </w:tcPr>
          <w:p>
            <w:pPr>
              <w:spacing w:after="0" w:before="0"/>
            </w:pPr>
            <w:r/>
            <w:r>
              <w:rPr>
                <w:rFonts w:ascii="Aptos" w:hAnsi="Aptos"/>
                <w:b w:val="0"/>
                <w:sz w:val="15"/>
              </w:rPr>
              <w:t>State</w:t>
            </w:r>
          </w:p>
        </w:tc>
        <w:tc>
          <w:tcPr>
            <w:tcW w:type="dxa" w:w="7992"/>
            <w:vAlign w:val="center"/>
            <w:tcMar>
              <w:top w:w="80" w:type="dxa"/>
              <w:start w:w="100" w:type="dxa"/>
              <w:bottom w:w="80" w:type="dxa"/>
              <w:end w:w="100" w:type="dxa"/>
            </w:tcMar>
            <w:shd w:fill="F3F6F9"/>
          </w:tcPr>
          <w:p>
            <w:pPr>
              <w:spacing w:after="0" w:before="0"/>
            </w:pPr>
            <w:r/>
            <w:r>
              <w:rPr>
                <w:rFonts w:ascii="Aptos" w:hAnsi="Aptos"/>
                <w:b w:val="0"/>
                <w:sz w:val="15"/>
              </w:rPr>
              <w:t>Model lifecycle states such as DRAFT → VALIDATED → PUBLISHED → RETIRED; permit only valid transitions.</w:t>
            </w:r>
          </w:p>
        </w:tc>
      </w:tr>
      <w:tr>
        <w:trPr>
          <w:cantSplit/>
        </w:trPr>
        <w:tc>
          <w:tcPr>
            <w:tcW w:type="dxa" w:w="2232"/>
            <w:vAlign w:val="center"/>
            <w:tcMar>
              <w:top w:w="80" w:type="dxa"/>
              <w:start w:w="100" w:type="dxa"/>
              <w:bottom w:w="80" w:type="dxa"/>
              <w:end w:w="100" w:type="dxa"/>
            </w:tcMar>
          </w:tcPr>
          <w:p>
            <w:pPr>
              <w:spacing w:after="0" w:before="0"/>
            </w:pPr>
            <w:r/>
            <w:r>
              <w:rPr>
                <w:rFonts w:ascii="Aptos" w:hAnsi="Aptos"/>
                <w:b w:val="0"/>
                <w:sz w:val="15"/>
              </w:rPr>
              <w:t>Builder</w:t>
            </w:r>
          </w:p>
        </w:tc>
        <w:tc>
          <w:tcPr>
            <w:tcW w:type="dxa" w:w="7992"/>
            <w:vAlign w:val="center"/>
            <w:tcMar>
              <w:top w:w="80" w:type="dxa"/>
              <w:start w:w="100" w:type="dxa"/>
              <w:bottom w:w="80" w:type="dxa"/>
              <w:end w:w="100" w:type="dxa"/>
            </w:tcMar>
          </w:tcPr>
          <w:p>
            <w:pPr>
              <w:spacing w:after="0" w:before="0"/>
            </w:pPr>
            <w:r/>
            <w:r>
              <w:rPr>
                <w:rFonts w:ascii="Aptos" w:hAnsi="Aptos"/>
                <w:b w:val="0"/>
                <w:sz w:val="15"/>
              </w:rPr>
              <w:t>Build complex blueprint objects through a validated builder rather than partially populated mutable objects.</w:t>
            </w:r>
          </w:p>
        </w:tc>
      </w:tr>
      <w:tr>
        <w:trPr>
          <w:cantSplit/>
        </w:trPr>
        <w:tc>
          <w:tcPr>
            <w:tcW w:type="dxa" w:w="2232"/>
            <w:vAlign w:val="center"/>
            <w:tcMar>
              <w:top w:w="80" w:type="dxa"/>
              <w:start w:w="100" w:type="dxa"/>
              <w:bottom w:w="80" w:type="dxa"/>
              <w:end w:w="100" w:type="dxa"/>
            </w:tcMar>
            <w:shd w:fill="F3F6F9"/>
          </w:tcPr>
          <w:p>
            <w:pPr>
              <w:spacing w:after="0" w:before="0"/>
            </w:pPr>
            <w:r/>
            <w:r>
              <w:rPr>
                <w:rFonts w:ascii="Aptos" w:hAnsi="Aptos"/>
                <w:b w:val="0"/>
                <w:sz w:val="15"/>
              </w:rPr>
              <w:t>Specification</w:t>
            </w:r>
          </w:p>
        </w:tc>
        <w:tc>
          <w:tcPr>
            <w:tcW w:type="dxa" w:w="7992"/>
            <w:vAlign w:val="center"/>
            <w:tcMar>
              <w:top w:w="80" w:type="dxa"/>
              <w:start w:w="100" w:type="dxa"/>
              <w:bottom w:w="80" w:type="dxa"/>
              <w:end w:w="100" w:type="dxa"/>
            </w:tcMar>
            <w:shd w:fill="F3F6F9"/>
          </w:tcPr>
          <w:p>
            <w:pPr>
              <w:spacing w:after="0" w:before="0"/>
            </w:pPr>
            <w:r/>
            <w:r>
              <w:rPr>
                <w:rFonts w:ascii="Aptos" w:hAnsi="Aptos"/>
                <w:b w:val="0"/>
                <w:sz w:val="15"/>
              </w:rPr>
              <w:t>Compose validation rules for input schema, connector reference, rule safety, required fields and tenant ownership.</w:t>
            </w:r>
          </w:p>
        </w:tc>
      </w:tr>
      <w:tr>
        <w:trPr>
          <w:cantSplit/>
        </w:trPr>
        <w:tc>
          <w:tcPr>
            <w:tcW w:type="dxa" w:w="2232"/>
            <w:vAlign w:val="center"/>
            <w:tcMar>
              <w:top w:w="80" w:type="dxa"/>
              <w:start w:w="100" w:type="dxa"/>
              <w:bottom w:w="80" w:type="dxa"/>
              <w:end w:w="100" w:type="dxa"/>
            </w:tcMar>
          </w:tcPr>
          <w:p>
            <w:pPr>
              <w:spacing w:after="0" w:before="0"/>
            </w:pPr>
            <w:r/>
            <w:r>
              <w:rPr>
                <w:rFonts w:ascii="Aptos" w:hAnsi="Aptos"/>
                <w:b w:val="0"/>
                <w:sz w:val="15"/>
              </w:rPr>
              <w:t>Repository + Optimistic Locking</w:t>
            </w:r>
          </w:p>
        </w:tc>
        <w:tc>
          <w:tcPr>
            <w:tcW w:type="dxa" w:w="7992"/>
            <w:vAlign w:val="center"/>
            <w:tcMar>
              <w:top w:w="80" w:type="dxa"/>
              <w:start w:w="100" w:type="dxa"/>
              <w:bottom w:w="80" w:type="dxa"/>
              <w:end w:w="100" w:type="dxa"/>
            </w:tcMar>
          </w:tcPr>
          <w:p>
            <w:pPr>
              <w:spacing w:after="0" w:before="0"/>
            </w:pPr>
            <w:r/>
            <w:r>
              <w:rPr>
                <w:rFonts w:ascii="Aptos" w:hAnsi="Aptos"/>
                <w:b w:val="0"/>
                <w:sz w:val="15"/>
              </w:rPr>
              <w:t>Persist versions and use a version/ETag to prevent administrators overwriting one another’s edits.</w:t>
            </w:r>
          </w:p>
        </w:tc>
      </w:tr>
      <w:tr>
        <w:trPr>
          <w:cantSplit/>
        </w:trPr>
        <w:tc>
          <w:tcPr>
            <w:tcW w:type="dxa" w:w="2232"/>
            <w:vAlign w:val="center"/>
            <w:tcMar>
              <w:top w:w="80" w:type="dxa"/>
              <w:start w:w="100" w:type="dxa"/>
              <w:bottom w:w="80" w:type="dxa"/>
              <w:end w:w="100" w:type="dxa"/>
            </w:tcMar>
            <w:shd w:fill="F3F6F9"/>
          </w:tcPr>
          <w:p>
            <w:pPr>
              <w:spacing w:after="0" w:before="0"/>
            </w:pPr>
            <w:r/>
            <w:r>
              <w:rPr>
                <w:rFonts w:ascii="Aptos" w:hAnsi="Aptos"/>
                <w:b w:val="0"/>
                <w:sz w:val="15"/>
              </w:rPr>
              <w:t>Immutable Versioning</w:t>
            </w:r>
          </w:p>
        </w:tc>
        <w:tc>
          <w:tcPr>
            <w:tcW w:type="dxa" w:w="7992"/>
            <w:vAlign w:val="center"/>
            <w:tcMar>
              <w:top w:w="80" w:type="dxa"/>
              <w:start w:w="100" w:type="dxa"/>
              <w:bottom w:w="80" w:type="dxa"/>
              <w:end w:w="100" w:type="dxa"/>
            </w:tcMar>
            <w:shd w:fill="F3F6F9"/>
          </w:tcPr>
          <w:p>
            <w:pPr>
              <w:spacing w:after="0" w:before="0"/>
            </w:pPr>
            <w:r/>
            <w:r>
              <w:rPr>
                <w:rFonts w:ascii="Aptos" w:hAnsi="Aptos"/>
                <w:b w:val="0"/>
                <w:sz w:val="15"/>
              </w:rPr>
              <w:t>Never mutate a published version; create a new version and preserve rollback history.</w:t>
            </w:r>
          </w:p>
        </w:tc>
      </w:tr>
    </w:tbl>
    <w:p>
      <w:pPr>
        <w:spacing w:after="20"/>
      </w:pPr>
    </w:p>
    <w:p>
      <w:pPr>
        <w:pStyle w:val="Heading2"/>
        <w:keepNext/>
      </w:pPr>
      <w:r>
        <w:t>Data ownership</w:t>
      </w:r>
    </w:p>
    <w:p>
      <w:pPr>
        <w:spacing w:after="100"/>
      </w:pPr>
      <w:r>
        <w:t>Own database: blueprint_db. Suggested tables: blueprints, blueprint_versions, blueprint_validation_results, blueprint_publications. Store connector IDs and tool IDs as references, not copied connector secrets or tool catalog records.</w:t>
      </w:r>
    </w:p>
    <w:p>
      <w:pPr>
        <w:pStyle w:val="Heading2"/>
        <w:keepNext/>
      </w:pPr>
      <w:r>
        <w:t>Representative interface</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1944"/>
            <w:vAlign w:val="center"/>
            <w:tcMar>
              <w:top w:w="80" w:type="dxa"/>
              <w:start w:w="100" w:type="dxa"/>
              <w:bottom w:w="80" w:type="dxa"/>
              <w:end w:w="100" w:type="dxa"/>
            </w:tcMar>
            <w:shd w:fill="17365D"/>
          </w:tcPr>
          <w:p>
            <w:pPr>
              <w:spacing w:after="0" w:before="0"/>
            </w:pPr>
            <w:r/>
            <w:r>
              <w:rPr>
                <w:rFonts w:ascii="Aptos" w:hAnsi="Aptos"/>
                <w:b/>
                <w:color w:val="FFFFFF"/>
                <w:sz w:val="15"/>
              </w:rPr>
              <w:t>Type</w:t>
            </w:r>
          </w:p>
        </w:tc>
        <w:tc>
          <w:tcPr>
            <w:tcW w:type="dxa" w:w="8280"/>
            <w:vAlign w:val="center"/>
            <w:tcMar>
              <w:top w:w="80" w:type="dxa"/>
              <w:start w:w="100" w:type="dxa"/>
              <w:bottom w:w="80" w:type="dxa"/>
              <w:end w:w="100" w:type="dxa"/>
            </w:tcMar>
            <w:shd w:fill="17365D"/>
          </w:tcPr>
          <w:p>
            <w:pPr>
              <w:spacing w:after="0" w:before="0"/>
            </w:pPr>
            <w:r/>
            <w:r>
              <w:rPr>
                <w:rFonts w:ascii="Aptos" w:hAnsi="Aptos"/>
                <w:b/>
                <w:color w:val="FFFFFF"/>
                <w:sz w:val="15"/>
              </w:rPr>
              <w:t>Contract / example</w:t>
            </w:r>
          </w:p>
        </w:tc>
      </w:tr>
      <w:tr>
        <w:trPr>
          <w:cantSplit/>
        </w:trPr>
        <w:tc>
          <w:tcPr>
            <w:tcW w:type="dxa" w:w="1944"/>
            <w:vAlign w:val="center"/>
            <w:tcMar>
              <w:top w:w="80" w:type="dxa"/>
              <w:start w:w="100" w:type="dxa"/>
              <w:bottom w:w="80" w:type="dxa"/>
              <w:end w:w="100" w:type="dxa"/>
            </w:tcMar>
            <w:shd w:fill="F3F6F9"/>
          </w:tcPr>
          <w:p>
            <w:pPr>
              <w:spacing w:after="0" w:before="0"/>
            </w:pPr>
            <w:r/>
            <w:r>
              <w:rPr>
                <w:rFonts w:ascii="Aptos" w:hAnsi="Aptos"/>
                <w:b w:val="0"/>
                <w:sz w:val="15"/>
              </w:rPr>
              <w:t>REST</w:t>
            </w:r>
          </w:p>
        </w:tc>
        <w:tc>
          <w:tcPr>
            <w:tcW w:type="dxa" w:w="8280"/>
            <w:vAlign w:val="center"/>
            <w:tcMar>
              <w:top w:w="80" w:type="dxa"/>
              <w:start w:w="100" w:type="dxa"/>
              <w:bottom w:w="80" w:type="dxa"/>
              <w:end w:w="100" w:type="dxa"/>
            </w:tcMar>
            <w:shd w:fill="F3F6F9"/>
          </w:tcPr>
          <w:p>
            <w:pPr>
              <w:spacing w:after="0" w:before="0"/>
            </w:pPr>
            <w:r/>
            <w:r>
              <w:rPr>
                <w:rFonts w:ascii="Aptos" w:hAnsi="Aptos"/>
                <w:b w:val="0"/>
                <w:sz w:val="15"/>
              </w:rPr>
              <w:t>POST /v1/blueprints; PUT /v1/blueprints/{id}/draft; POST /v1/blueprints/{id}/validate; POST /v1/blueprints/{id}/publish; GET /v1/blueprints/{id}/versions</w:t>
            </w:r>
          </w:p>
        </w:tc>
      </w:tr>
      <w:tr>
        <w:trPr>
          <w:cantSplit/>
        </w:trPr>
        <w:tc>
          <w:tcPr>
            <w:tcW w:type="dxa" w:w="1944"/>
            <w:vAlign w:val="center"/>
            <w:tcMar>
              <w:top w:w="80" w:type="dxa"/>
              <w:start w:w="100" w:type="dxa"/>
              <w:bottom w:w="80" w:type="dxa"/>
              <w:end w:w="100" w:type="dxa"/>
            </w:tcMar>
          </w:tcPr>
          <w:p>
            <w:pPr>
              <w:spacing w:after="0" w:before="0"/>
            </w:pPr>
            <w:r/>
            <w:r>
              <w:rPr>
                <w:rFonts w:ascii="Aptos" w:hAnsi="Aptos"/>
                <w:b w:val="0"/>
                <w:sz w:val="15"/>
              </w:rPr>
              <w:t>Events out</w:t>
            </w:r>
          </w:p>
        </w:tc>
        <w:tc>
          <w:tcPr>
            <w:tcW w:type="dxa" w:w="8280"/>
            <w:vAlign w:val="center"/>
            <w:tcMar>
              <w:top w:w="80" w:type="dxa"/>
              <w:start w:w="100" w:type="dxa"/>
              <w:bottom w:w="80" w:type="dxa"/>
              <w:end w:w="100" w:type="dxa"/>
            </w:tcMar>
          </w:tcPr>
          <w:p>
            <w:pPr>
              <w:spacing w:after="0" w:before="0"/>
            </w:pPr>
            <w:r/>
            <w:r>
              <w:rPr>
                <w:rFonts w:ascii="Aptos" w:hAnsi="Aptos"/>
                <w:b w:val="0"/>
                <w:sz w:val="15"/>
              </w:rPr>
              <w:t>BlueprintValidated, BlueprintPublished, BlueprintRetired</w:t>
            </w:r>
          </w:p>
        </w:tc>
      </w:tr>
      <w:tr>
        <w:trPr>
          <w:cantSplit/>
        </w:trPr>
        <w:tc>
          <w:tcPr>
            <w:tcW w:type="dxa" w:w="1944"/>
            <w:vAlign w:val="center"/>
            <w:tcMar>
              <w:top w:w="80" w:type="dxa"/>
              <w:start w:w="100" w:type="dxa"/>
              <w:bottom w:w="80" w:type="dxa"/>
              <w:end w:w="100" w:type="dxa"/>
            </w:tcMar>
            <w:shd w:fill="F3F6F9"/>
          </w:tcPr>
          <w:p>
            <w:pPr>
              <w:spacing w:after="0" w:before="0"/>
            </w:pPr>
            <w:r/>
            <w:r>
              <w:rPr>
                <w:rFonts w:ascii="Aptos" w:hAnsi="Aptos"/>
                <w:b w:val="0"/>
                <w:sz w:val="15"/>
              </w:rPr>
              <w:t>Events in</w:t>
            </w:r>
          </w:p>
        </w:tc>
        <w:tc>
          <w:tcPr>
            <w:tcW w:type="dxa" w:w="8280"/>
            <w:vAlign w:val="center"/>
            <w:tcMar>
              <w:top w:w="80" w:type="dxa"/>
              <w:start w:w="100" w:type="dxa"/>
              <w:bottom w:w="80" w:type="dxa"/>
              <w:end w:w="100" w:type="dxa"/>
            </w:tcMar>
            <w:shd w:fill="F3F6F9"/>
          </w:tcPr>
          <w:p>
            <w:pPr>
              <w:spacing w:after="0" w:before="0"/>
            </w:pPr>
            <w:r/>
            <w:r>
              <w:rPr>
                <w:rFonts w:ascii="Aptos" w:hAnsi="Aptos"/>
                <w:b w:val="0"/>
                <w:sz w:val="15"/>
              </w:rPr>
              <w:t>ConnectorChanged and ToolDefinitionChanged may trigger a revalidation recommendation, not silent mutation of an already published version.</w:t>
            </w:r>
          </w:p>
        </w:tc>
      </w:tr>
    </w:tbl>
    <w:p>
      <w:pPr>
        <w:spacing w:after="20"/>
      </w:pPr>
    </w:p>
    <w:p>
      <w:pPr>
        <w:pStyle w:val="Heading2"/>
        <w:keepNext/>
      </w:pPr>
      <w:r>
        <w:t>Must not own / boundary rules</w:t>
      </w:r>
    </w:p>
    <w:p>
      <w:pPr>
        <w:pStyle w:val="ListBullet"/>
        <w:keepLines/>
        <w:spacing w:after="40"/>
      </w:pPr>
      <w:r>
        <w:t>Does not expose MCP tools directly. Tool Catalog owns AI-visible tool metadata and publication projection.</w:t>
      </w:r>
    </w:p>
    <w:p>
      <w:pPr>
        <w:pStyle w:val="ListBullet"/>
        <w:keepLines/>
        <w:spacing w:after="40"/>
      </w:pPr>
      <w:r>
        <w:t>Does not execute SpEL or call enterprise APIs.</w:t>
      </w:r>
    </w:p>
    <w:p>
      <w:pPr>
        <w:pStyle w:val="ListBullet"/>
        <w:keepLines/>
        <w:spacing w:after="40"/>
      </w:pPr>
      <w:r>
        <w:t>Does not store raw customer data or plaintext credentials.</w:t>
      </w:r>
    </w:p>
    <w:p>
      <w:pPr>
        <w:pStyle w:val="Heading2"/>
        <w:keepNext/>
      </w:pPr>
      <w:r>
        <w:t>Key implementation notes</w:t>
      </w:r>
    </w:p>
    <w:p>
      <w:pPr>
        <w:pStyle w:val="ListBullet"/>
        <w:keepLines/>
        <w:spacing w:after="40"/>
      </w:pPr>
      <w:r>
        <w:t>Treat a published blueprint as an immutable execution contract. The MCP runtime must execute a pinned blueprint version for the full duration of a request.</w:t>
      </w:r>
    </w:p>
    <w:p>
      <w:pPr>
        <w:pStyle w:val="ListBullet"/>
        <w:keepLines/>
        <w:spacing w:after="40"/>
      </w:pPr>
      <w:r>
        <w:t>The original documents specify JSON blueprints and SpEL rules but do not define a formal schema; version and publish that schema as an API contract.</w:t>
      </w:r>
    </w:p>
    <w:p>
      <w:pPr>
        <w:pStyle w:val="Heading1"/>
        <w:keepNext/>
      </w:pPr>
      <w:r>
        <w:t>05. Tool Catalog &amp; Publishing Service</w:t>
      </w:r>
    </w:p>
    <w:p>
      <w:pPr>
        <w:keepNext/>
        <w:spacing w:after="140"/>
      </w:pPr>
      <w:r>
        <w:rPr>
          <w:i/>
          <w:color w:val="4B6982"/>
          <w:sz w:val="20"/>
        </w:rPr>
        <w:t>Control Plane | Owns the discoverable tool catalogue presented to AI clients</w:t>
      </w:r>
    </w:p>
    <w:p>
      <w:pPr>
        <w:pStyle w:val="Heading2"/>
        <w:keepNext/>
      </w:pPr>
      <w:r>
        <w:t>Purpose and bounded context</w:t>
      </w:r>
    </w:p>
    <w:p>
      <w:pPr>
        <w:spacing w:after="100"/>
      </w:pPr>
      <w:r>
        <w:t>Separates what an AI Host can discover and call from the internal recipe that implements the tool. It owns MCP-facing tool name, description, input schema, tenant availability and the mapping to a published blueprint version.</w:t>
      </w:r>
    </w:p>
    <w:p>
      <w:pPr>
        <w:pStyle w:val="Heading2"/>
        <w:keepNext/>
      </w:pPr>
      <w:r>
        <w:t>Responsibilities</w:t>
      </w:r>
    </w:p>
    <w:p>
      <w:pPr>
        <w:pStyle w:val="ListBullet"/>
        <w:keepLines/>
        <w:spacing w:after="40"/>
      </w:pPr>
      <w:r>
        <w:t>Create and maintain AI-visible tool metadata.</w:t>
      </w:r>
    </w:p>
    <w:p>
      <w:pPr>
        <w:pStyle w:val="ListBullet"/>
        <w:keepLines/>
        <w:spacing w:after="40"/>
      </w:pPr>
      <w:r>
        <w:t>Map each tool to an exact published blueprint version.</w:t>
      </w:r>
    </w:p>
    <w:p>
      <w:pPr>
        <w:pStyle w:val="ListBullet"/>
        <w:keepLines/>
        <w:spacing w:after="40"/>
      </w:pPr>
      <w:r>
        <w:t>Enforce unique tool names within the defined tenant namespace.</w:t>
      </w:r>
    </w:p>
    <w:p>
      <w:pPr>
        <w:pStyle w:val="ListBullet"/>
        <w:keepLines/>
        <w:spacing w:after="40"/>
      </w:pPr>
      <w:r>
        <w:t>Publish/unpublish tools and define visibility by tenant or audience.</w:t>
      </w:r>
    </w:p>
    <w:p>
      <w:pPr>
        <w:pStyle w:val="ListBullet"/>
        <w:keepLines/>
        <w:spacing w:after="40"/>
      </w:pPr>
      <w:r>
        <w:t>Emit ToolPublished, ToolUnpublished and ToolMetadataChanged events consumed by MCP Gateway.</w:t>
      </w:r>
    </w:p>
    <w:p>
      <w:pPr>
        <w:pStyle w:val="Heading2"/>
        <w:keepNext/>
      </w:pPr>
      <w:r>
        <w:t>Recommended design patterns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232"/>
            <w:vAlign w:val="center"/>
            <w:tcMar>
              <w:top w:w="80" w:type="dxa"/>
              <w:start w:w="100" w:type="dxa"/>
              <w:bottom w:w="80" w:type="dxa"/>
              <w:end w:w="100" w:type="dxa"/>
            </w:tcMar>
            <w:shd w:fill="17365D"/>
          </w:tcPr>
          <w:p>
            <w:pPr>
              <w:spacing w:after="0" w:before="0"/>
            </w:pPr>
            <w:r/>
            <w:r>
              <w:rPr>
                <w:rFonts w:ascii="Aptos" w:hAnsi="Aptos"/>
                <w:b/>
                <w:color w:val="FFFFFF"/>
                <w:sz w:val="15"/>
              </w:rPr>
              <w:t>Pattern</w:t>
            </w:r>
          </w:p>
        </w:tc>
        <w:tc>
          <w:tcPr>
            <w:tcW w:type="dxa" w:w="7992"/>
            <w:vAlign w:val="center"/>
            <w:tcMar>
              <w:top w:w="80" w:type="dxa"/>
              <w:start w:w="100" w:type="dxa"/>
              <w:bottom w:w="80" w:type="dxa"/>
              <w:end w:w="100" w:type="dxa"/>
            </w:tcMar>
            <w:shd w:fill="17365D"/>
          </w:tcPr>
          <w:p>
            <w:pPr>
              <w:spacing w:after="0" w:before="0"/>
            </w:pPr>
            <w:r/>
            <w:r>
              <w:rPr>
                <w:rFonts w:ascii="Aptos" w:hAnsi="Aptos"/>
                <w:b/>
                <w:color w:val="FFFFFF"/>
                <w:sz w:val="15"/>
              </w:rPr>
              <w:t>How to apply it here</w:t>
            </w:r>
          </w:p>
        </w:tc>
      </w:tr>
      <w:tr>
        <w:trPr>
          <w:cantSplit/>
        </w:trPr>
        <w:tc>
          <w:tcPr>
            <w:tcW w:type="dxa" w:w="2232"/>
            <w:vAlign w:val="center"/>
            <w:tcMar>
              <w:top w:w="80" w:type="dxa"/>
              <w:start w:w="100" w:type="dxa"/>
              <w:bottom w:w="80" w:type="dxa"/>
              <w:end w:w="100" w:type="dxa"/>
            </w:tcMar>
            <w:shd w:fill="F3F6F9"/>
          </w:tcPr>
          <w:p>
            <w:pPr>
              <w:spacing w:after="0" w:before="0"/>
            </w:pPr>
            <w:r/>
            <w:r>
              <w:rPr>
                <w:rFonts w:ascii="Aptos" w:hAnsi="Aptos"/>
                <w:b w:val="0"/>
                <w:sz w:val="15"/>
              </w:rPr>
              <w:t>Registry</w:t>
            </w:r>
          </w:p>
        </w:tc>
        <w:tc>
          <w:tcPr>
            <w:tcW w:type="dxa" w:w="7992"/>
            <w:vAlign w:val="center"/>
            <w:tcMar>
              <w:top w:w="80" w:type="dxa"/>
              <w:start w:w="100" w:type="dxa"/>
              <w:bottom w:w="80" w:type="dxa"/>
              <w:end w:w="100" w:type="dxa"/>
            </w:tcMar>
            <w:shd w:fill="F3F6F9"/>
          </w:tcPr>
          <w:p>
            <w:pPr>
              <w:spacing w:after="0" w:before="0"/>
            </w:pPr>
            <w:r/>
            <w:r>
              <w:rPr>
                <w:rFonts w:ascii="Aptos" w:hAnsi="Aptos"/>
                <w:b w:val="0"/>
                <w:sz w:val="15"/>
              </w:rPr>
              <w:t>Maintain the authoritative catalogue of available tool definitions and their implementation references.</w:t>
            </w:r>
          </w:p>
        </w:tc>
      </w:tr>
      <w:tr>
        <w:trPr>
          <w:cantSplit/>
        </w:trPr>
        <w:tc>
          <w:tcPr>
            <w:tcW w:type="dxa" w:w="2232"/>
            <w:vAlign w:val="center"/>
            <w:tcMar>
              <w:top w:w="80" w:type="dxa"/>
              <w:start w:w="100" w:type="dxa"/>
              <w:bottom w:w="80" w:type="dxa"/>
              <w:end w:w="100" w:type="dxa"/>
            </w:tcMar>
          </w:tcPr>
          <w:p>
            <w:pPr>
              <w:spacing w:after="0" w:before="0"/>
            </w:pPr>
            <w:r/>
            <w:r>
              <w:rPr>
                <w:rFonts w:ascii="Aptos" w:hAnsi="Aptos"/>
                <w:b w:val="0"/>
                <w:sz w:val="15"/>
              </w:rPr>
              <w:t>Factory / Builder</w:t>
            </w:r>
          </w:p>
        </w:tc>
        <w:tc>
          <w:tcPr>
            <w:tcW w:type="dxa" w:w="7992"/>
            <w:vAlign w:val="center"/>
            <w:tcMar>
              <w:top w:w="80" w:type="dxa"/>
              <w:start w:w="100" w:type="dxa"/>
              <w:bottom w:w="80" w:type="dxa"/>
              <w:end w:w="100" w:type="dxa"/>
            </w:tcMar>
          </w:tcPr>
          <w:p>
            <w:pPr>
              <w:spacing w:after="0" w:before="0"/>
            </w:pPr>
            <w:r/>
            <w:r>
              <w:rPr>
                <w:rFonts w:ascii="Aptos" w:hAnsi="Aptos"/>
                <w:b w:val="0"/>
                <w:sz w:val="15"/>
              </w:rPr>
              <w:t>Construct validated MCP tool descriptors from catalog metadata and JSON input schemas.</w:t>
            </w:r>
          </w:p>
        </w:tc>
      </w:tr>
      <w:tr>
        <w:trPr>
          <w:cantSplit/>
        </w:trPr>
        <w:tc>
          <w:tcPr>
            <w:tcW w:type="dxa" w:w="2232"/>
            <w:vAlign w:val="center"/>
            <w:tcMar>
              <w:top w:w="80" w:type="dxa"/>
              <w:start w:w="100" w:type="dxa"/>
              <w:bottom w:w="80" w:type="dxa"/>
              <w:end w:w="100" w:type="dxa"/>
            </w:tcMar>
            <w:shd w:fill="F3F6F9"/>
          </w:tcPr>
          <w:p>
            <w:pPr>
              <w:spacing w:after="0" w:before="0"/>
            </w:pPr>
            <w:r/>
            <w:r>
              <w:rPr>
                <w:rFonts w:ascii="Aptos" w:hAnsi="Aptos"/>
                <w:b w:val="0"/>
                <w:sz w:val="15"/>
              </w:rPr>
              <w:t>Observer / Pub-Sub</w:t>
            </w:r>
          </w:p>
        </w:tc>
        <w:tc>
          <w:tcPr>
            <w:tcW w:type="dxa" w:w="7992"/>
            <w:vAlign w:val="center"/>
            <w:tcMar>
              <w:top w:w="80" w:type="dxa"/>
              <w:start w:w="100" w:type="dxa"/>
              <w:bottom w:w="80" w:type="dxa"/>
              <w:end w:w="100" w:type="dxa"/>
            </w:tcMar>
            <w:shd w:fill="F3F6F9"/>
          </w:tcPr>
          <w:p>
            <w:pPr>
              <w:spacing w:after="0" w:before="0"/>
            </w:pPr>
            <w:r/>
            <w:r>
              <w:rPr>
                <w:rFonts w:ascii="Aptos" w:hAnsi="Aptos"/>
                <w:b w:val="0"/>
                <w:sz w:val="15"/>
              </w:rPr>
              <w:t>Notify runtime gateway instances when tools are published, changed or withdrawn.</w:t>
            </w:r>
          </w:p>
        </w:tc>
      </w:tr>
      <w:tr>
        <w:trPr>
          <w:cantSplit/>
        </w:trPr>
        <w:tc>
          <w:tcPr>
            <w:tcW w:type="dxa" w:w="2232"/>
            <w:vAlign w:val="center"/>
            <w:tcMar>
              <w:top w:w="80" w:type="dxa"/>
              <w:start w:w="100" w:type="dxa"/>
              <w:bottom w:w="80" w:type="dxa"/>
              <w:end w:w="100" w:type="dxa"/>
            </w:tcMar>
          </w:tcPr>
          <w:p>
            <w:pPr>
              <w:spacing w:after="0" w:before="0"/>
            </w:pPr>
            <w:r/>
            <w:r>
              <w:rPr>
                <w:rFonts w:ascii="Aptos" w:hAnsi="Aptos"/>
                <w:b w:val="0"/>
                <w:sz w:val="15"/>
              </w:rPr>
              <w:t>Transactional Outbox</w:t>
            </w:r>
          </w:p>
        </w:tc>
        <w:tc>
          <w:tcPr>
            <w:tcW w:type="dxa" w:w="7992"/>
            <w:vAlign w:val="center"/>
            <w:tcMar>
              <w:top w:w="80" w:type="dxa"/>
              <w:start w:w="100" w:type="dxa"/>
              <w:bottom w:w="80" w:type="dxa"/>
              <w:end w:w="100" w:type="dxa"/>
            </w:tcMar>
          </w:tcPr>
          <w:p>
            <w:pPr>
              <w:spacing w:after="0" w:before="0"/>
            </w:pPr>
            <w:r/>
            <w:r>
              <w:rPr>
                <w:rFonts w:ascii="Aptos" w:hAnsi="Aptos"/>
                <w:b w:val="0"/>
                <w:sz w:val="15"/>
              </w:rPr>
              <w:t>Persist the catalog update and publication event atomically so a committed tool is not silently missed by runtime instances.</w:t>
            </w:r>
          </w:p>
        </w:tc>
      </w:tr>
    </w:tbl>
    <w:p>
      <w:pPr>
        <w:spacing w:after="20"/>
      </w:pPr>
    </w:p>
    <w:p>
      <w:pPr>
        <w:pStyle w:val="Heading2"/>
        <w:keepNext/>
      </w:pPr>
      <w:r>
        <w:t>Data ownership</w:t>
      </w:r>
    </w:p>
    <w:p>
      <w:pPr>
        <w:spacing w:after="100"/>
      </w:pPr>
      <w:r>
        <w:t>Own database: tool_catalog_db. Suggested tables: tools, tool_versions, tool_blueprint_bindings, tool_visibility, tool_publication_history. The catalog stores a blueprint ID/version reference, not the rule body itself.</w:t>
      </w:r>
    </w:p>
    <w:p>
      <w:pPr>
        <w:pStyle w:val="Heading2"/>
        <w:keepNext/>
      </w:pPr>
      <w:r>
        <w:t>Representative interface</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1944"/>
            <w:vAlign w:val="center"/>
            <w:tcMar>
              <w:top w:w="80" w:type="dxa"/>
              <w:start w:w="100" w:type="dxa"/>
              <w:bottom w:w="80" w:type="dxa"/>
              <w:end w:w="100" w:type="dxa"/>
            </w:tcMar>
            <w:shd w:fill="17365D"/>
          </w:tcPr>
          <w:p>
            <w:pPr>
              <w:spacing w:after="0" w:before="0"/>
            </w:pPr>
            <w:r/>
            <w:r>
              <w:rPr>
                <w:rFonts w:ascii="Aptos" w:hAnsi="Aptos"/>
                <w:b/>
                <w:color w:val="FFFFFF"/>
                <w:sz w:val="15"/>
              </w:rPr>
              <w:t>Type</w:t>
            </w:r>
          </w:p>
        </w:tc>
        <w:tc>
          <w:tcPr>
            <w:tcW w:type="dxa" w:w="8280"/>
            <w:vAlign w:val="center"/>
            <w:tcMar>
              <w:top w:w="80" w:type="dxa"/>
              <w:start w:w="100" w:type="dxa"/>
              <w:bottom w:w="80" w:type="dxa"/>
              <w:end w:w="100" w:type="dxa"/>
            </w:tcMar>
            <w:shd w:fill="17365D"/>
          </w:tcPr>
          <w:p>
            <w:pPr>
              <w:spacing w:after="0" w:before="0"/>
            </w:pPr>
            <w:r/>
            <w:r>
              <w:rPr>
                <w:rFonts w:ascii="Aptos" w:hAnsi="Aptos"/>
                <w:b/>
                <w:color w:val="FFFFFF"/>
                <w:sz w:val="15"/>
              </w:rPr>
              <w:t>Contract / example</w:t>
            </w:r>
          </w:p>
        </w:tc>
      </w:tr>
      <w:tr>
        <w:trPr>
          <w:cantSplit/>
        </w:trPr>
        <w:tc>
          <w:tcPr>
            <w:tcW w:type="dxa" w:w="1944"/>
            <w:vAlign w:val="center"/>
            <w:tcMar>
              <w:top w:w="80" w:type="dxa"/>
              <w:start w:w="100" w:type="dxa"/>
              <w:bottom w:w="80" w:type="dxa"/>
              <w:end w:w="100" w:type="dxa"/>
            </w:tcMar>
            <w:shd w:fill="F3F6F9"/>
          </w:tcPr>
          <w:p>
            <w:pPr>
              <w:spacing w:after="0" w:before="0"/>
            </w:pPr>
            <w:r/>
            <w:r>
              <w:rPr>
                <w:rFonts w:ascii="Aptos" w:hAnsi="Aptos"/>
                <w:b w:val="0"/>
                <w:sz w:val="15"/>
              </w:rPr>
              <w:t>REST</w:t>
            </w:r>
          </w:p>
        </w:tc>
        <w:tc>
          <w:tcPr>
            <w:tcW w:type="dxa" w:w="8280"/>
            <w:vAlign w:val="center"/>
            <w:tcMar>
              <w:top w:w="80" w:type="dxa"/>
              <w:start w:w="100" w:type="dxa"/>
              <w:bottom w:w="80" w:type="dxa"/>
              <w:end w:w="100" w:type="dxa"/>
            </w:tcMar>
            <w:shd w:fill="F3F6F9"/>
          </w:tcPr>
          <w:p>
            <w:pPr>
              <w:spacing w:after="0" w:before="0"/>
            </w:pPr>
            <w:r/>
            <w:r>
              <w:rPr>
                <w:rFonts w:ascii="Aptos" w:hAnsi="Aptos"/>
                <w:b w:val="0"/>
                <w:sz w:val="15"/>
              </w:rPr>
              <w:t>POST /v1/tools; PUT /v1/tools/{toolId}; POST /v1/tools/{toolId}/publish; POST /v1/tools/{toolId}/unpublish; GET /v1/tenants/{tenantId}/tools</w:t>
            </w:r>
          </w:p>
        </w:tc>
      </w:tr>
      <w:tr>
        <w:trPr>
          <w:cantSplit/>
        </w:trPr>
        <w:tc>
          <w:tcPr>
            <w:tcW w:type="dxa" w:w="1944"/>
            <w:vAlign w:val="center"/>
            <w:tcMar>
              <w:top w:w="80" w:type="dxa"/>
              <w:start w:w="100" w:type="dxa"/>
              <w:bottom w:w="80" w:type="dxa"/>
              <w:end w:w="100" w:type="dxa"/>
            </w:tcMar>
          </w:tcPr>
          <w:p>
            <w:pPr>
              <w:spacing w:after="0" w:before="0"/>
            </w:pPr>
            <w:r/>
            <w:r>
              <w:rPr>
                <w:rFonts w:ascii="Aptos" w:hAnsi="Aptos"/>
                <w:b w:val="0"/>
                <w:sz w:val="15"/>
              </w:rPr>
              <w:t>Events out</w:t>
            </w:r>
          </w:p>
        </w:tc>
        <w:tc>
          <w:tcPr>
            <w:tcW w:type="dxa" w:w="8280"/>
            <w:vAlign w:val="center"/>
            <w:tcMar>
              <w:top w:w="80" w:type="dxa"/>
              <w:start w:w="100" w:type="dxa"/>
              <w:bottom w:w="80" w:type="dxa"/>
              <w:end w:w="100" w:type="dxa"/>
            </w:tcMar>
          </w:tcPr>
          <w:p>
            <w:pPr>
              <w:spacing w:after="0" w:before="0"/>
            </w:pPr>
            <w:r/>
            <w:r>
              <w:rPr>
                <w:rFonts w:ascii="Aptos" w:hAnsi="Aptos"/>
                <w:b w:val="0"/>
                <w:sz w:val="15"/>
              </w:rPr>
              <w:t>ToolPublished, ToolUnpublished, ToolMetadataChanged</w:t>
            </w:r>
          </w:p>
        </w:tc>
      </w:tr>
      <w:tr>
        <w:trPr>
          <w:cantSplit/>
        </w:trPr>
        <w:tc>
          <w:tcPr>
            <w:tcW w:type="dxa" w:w="1944"/>
            <w:vAlign w:val="center"/>
            <w:tcMar>
              <w:top w:w="80" w:type="dxa"/>
              <w:start w:w="100" w:type="dxa"/>
              <w:bottom w:w="80" w:type="dxa"/>
              <w:end w:w="100" w:type="dxa"/>
            </w:tcMar>
            <w:shd w:fill="F3F6F9"/>
          </w:tcPr>
          <w:p>
            <w:pPr>
              <w:spacing w:after="0" w:before="0"/>
            </w:pPr>
            <w:r/>
            <w:r>
              <w:rPr>
                <w:rFonts w:ascii="Aptos" w:hAnsi="Aptos"/>
                <w:b w:val="0"/>
                <w:sz w:val="15"/>
              </w:rPr>
              <w:t>Events in</w:t>
            </w:r>
          </w:p>
        </w:tc>
        <w:tc>
          <w:tcPr>
            <w:tcW w:type="dxa" w:w="8280"/>
            <w:vAlign w:val="center"/>
            <w:tcMar>
              <w:top w:w="80" w:type="dxa"/>
              <w:start w:w="100" w:type="dxa"/>
              <w:bottom w:w="80" w:type="dxa"/>
              <w:end w:w="100" w:type="dxa"/>
            </w:tcMar>
            <w:shd w:fill="F3F6F9"/>
          </w:tcPr>
          <w:p>
            <w:pPr>
              <w:spacing w:after="0" w:before="0"/>
            </w:pPr>
            <w:r/>
            <w:r>
              <w:rPr>
                <w:rFonts w:ascii="Aptos" w:hAnsi="Aptos"/>
                <w:b w:val="0"/>
                <w:sz w:val="15"/>
              </w:rPr>
              <w:t>BlueprintPublished; publication should verify the referenced blueprint version exists and is valid.</w:t>
            </w:r>
          </w:p>
        </w:tc>
      </w:tr>
    </w:tbl>
    <w:p>
      <w:pPr>
        <w:spacing w:after="20"/>
      </w:pPr>
    </w:p>
    <w:p>
      <w:pPr>
        <w:pStyle w:val="Heading2"/>
        <w:keepNext/>
      </w:pPr>
      <w:r>
        <w:t>Must not own / boundary rules</w:t>
      </w:r>
    </w:p>
    <w:p>
      <w:pPr>
        <w:pStyle w:val="ListBullet"/>
        <w:keepLines/>
        <w:spacing w:after="40"/>
      </w:pPr>
      <w:r>
        <w:t>Does not execute a tool or fetch customer information.</w:t>
      </w:r>
    </w:p>
    <w:p>
      <w:pPr>
        <w:pStyle w:val="ListBullet"/>
        <w:keepLines/>
        <w:spacing w:after="40"/>
      </w:pPr>
      <w:r>
        <w:t>Does not own blueprint rule logic or connector configuration.</w:t>
      </w:r>
    </w:p>
    <w:p>
      <w:pPr>
        <w:pStyle w:val="ListBullet"/>
        <w:keepLines/>
        <w:spacing w:after="40"/>
      </w:pPr>
      <w:r>
        <w:t>Does not maintain each MCP Gateway instance’s in-memory registry; it publishes the authoritative catalogue and events.</w:t>
      </w:r>
    </w:p>
    <w:p>
      <w:pPr>
        <w:pStyle w:val="Heading2"/>
        <w:keepNext/>
      </w:pPr>
      <w:r>
        <w:t>Key implementation notes</w:t>
      </w:r>
    </w:p>
    <w:p>
      <w:pPr>
        <w:pStyle w:val="ListBullet"/>
        <w:keepLines/>
        <w:spacing w:after="40"/>
      </w:pPr>
      <w:r>
        <w:t>Treat registry refresh as eventually consistent: gateway instances must reconcile against a catalogue snapshot at startup and periodically, not rely only on a one-time event.</w:t>
      </w:r>
    </w:p>
    <w:p>
      <w:pPr>
        <w:pStyle w:val="ListBullet"/>
        <w:keepLines/>
        <w:spacing w:after="40"/>
      </w:pPr>
      <w:r>
        <w:t>Use idempotent event consumers and monotonically increasing catalogue versions.</w:t>
      </w:r>
    </w:p>
    <w:p>
      <w:pPr>
        <w:pStyle w:val="Heading1"/>
        <w:keepNext/>
      </w:pPr>
      <w:r>
        <w:t>06. Connector Management Service</w:t>
      </w:r>
    </w:p>
    <w:p>
      <w:pPr>
        <w:keepNext/>
        <w:spacing w:after="140"/>
      </w:pPr>
      <w:r>
        <w:rPr>
          <w:i/>
          <w:color w:val="4B6982"/>
          <w:sz w:val="20"/>
        </w:rPr>
        <w:t>Control Plane | Owns connector definitions and safe connection metadata</w:t>
      </w:r>
    </w:p>
    <w:p>
      <w:pPr>
        <w:pStyle w:val="Heading2"/>
        <w:keepNext/>
      </w:pPr>
      <w:r>
        <w:t>Purpose and bounded context</w:t>
      </w:r>
    </w:p>
    <w:p>
      <w:pPr>
        <w:spacing w:after="100"/>
      </w:pPr>
      <w:r>
        <w:t>Owns the configuration of connections to enterprise systems: connector type, endpoint, permitted operations, authentication mode, timeout, tenant binding and reference to a managed secret. It does not perform live data calls.</w:t>
      </w:r>
    </w:p>
    <w:p>
      <w:pPr>
        <w:pStyle w:val="Heading2"/>
        <w:keepNext/>
      </w:pPr>
      <w:r>
        <w:t>Responsibilities</w:t>
      </w:r>
    </w:p>
    <w:p>
      <w:pPr>
        <w:pStyle w:val="ListBullet"/>
        <w:keepLines/>
        <w:spacing w:after="40"/>
      </w:pPr>
      <w:r>
        <w:t>Register and update REST, SQL, GraphQL and secure-proxy connector definitions.</w:t>
      </w:r>
    </w:p>
    <w:p>
      <w:pPr>
        <w:pStyle w:val="ListBullet"/>
        <w:keepLines/>
        <w:spacing w:after="40"/>
      </w:pPr>
      <w:r>
        <w:t>Validate endpoint scheme, host allowlist, permitted methods, database access profile and timeout policy.</w:t>
      </w:r>
    </w:p>
    <w:p>
      <w:pPr>
        <w:pStyle w:val="ListBullet"/>
        <w:keepLines/>
        <w:spacing w:after="40"/>
      </w:pPr>
      <w:r>
        <w:t>Maintain secret references and credential rotation metadata.</w:t>
      </w:r>
    </w:p>
    <w:p>
      <w:pPr>
        <w:pStyle w:val="ListBullet"/>
        <w:keepLines/>
        <w:spacing w:after="40"/>
      </w:pPr>
      <w:r>
        <w:t>Associate connectors with tenants and approved blueprints.</w:t>
      </w:r>
    </w:p>
    <w:p>
      <w:pPr>
        <w:pStyle w:val="ListBullet"/>
        <w:keepLines/>
        <w:spacing w:after="40"/>
      </w:pPr>
      <w:r>
        <w:t>Publish ConnectorCreated, ConnectorChanged, ConnectorDisabled and CredentialReferenceChanged events.</w:t>
      </w:r>
    </w:p>
    <w:p>
      <w:pPr>
        <w:pStyle w:val="Heading2"/>
        <w:keepNext/>
      </w:pPr>
      <w:r>
        <w:t>Recommended design patterns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232"/>
            <w:vAlign w:val="center"/>
            <w:tcMar>
              <w:top w:w="80" w:type="dxa"/>
              <w:start w:w="100" w:type="dxa"/>
              <w:bottom w:w="80" w:type="dxa"/>
              <w:end w:w="100" w:type="dxa"/>
            </w:tcMar>
            <w:shd w:fill="17365D"/>
          </w:tcPr>
          <w:p>
            <w:pPr>
              <w:spacing w:after="0" w:before="0"/>
            </w:pPr>
            <w:r/>
            <w:r>
              <w:rPr>
                <w:rFonts w:ascii="Aptos" w:hAnsi="Aptos"/>
                <w:b/>
                <w:color w:val="FFFFFF"/>
                <w:sz w:val="15"/>
              </w:rPr>
              <w:t>Pattern</w:t>
            </w:r>
          </w:p>
        </w:tc>
        <w:tc>
          <w:tcPr>
            <w:tcW w:type="dxa" w:w="7992"/>
            <w:vAlign w:val="center"/>
            <w:tcMar>
              <w:top w:w="80" w:type="dxa"/>
              <w:start w:w="100" w:type="dxa"/>
              <w:bottom w:w="80" w:type="dxa"/>
              <w:end w:w="100" w:type="dxa"/>
            </w:tcMar>
            <w:shd w:fill="17365D"/>
          </w:tcPr>
          <w:p>
            <w:pPr>
              <w:spacing w:after="0" w:before="0"/>
            </w:pPr>
            <w:r/>
            <w:r>
              <w:rPr>
                <w:rFonts w:ascii="Aptos" w:hAnsi="Aptos"/>
                <w:b/>
                <w:color w:val="FFFFFF"/>
                <w:sz w:val="15"/>
              </w:rPr>
              <w:t>How to apply it here</w:t>
            </w:r>
          </w:p>
        </w:tc>
      </w:tr>
      <w:tr>
        <w:trPr>
          <w:cantSplit/>
        </w:trPr>
        <w:tc>
          <w:tcPr>
            <w:tcW w:type="dxa" w:w="2232"/>
            <w:vAlign w:val="center"/>
            <w:tcMar>
              <w:top w:w="80" w:type="dxa"/>
              <w:start w:w="100" w:type="dxa"/>
              <w:bottom w:w="80" w:type="dxa"/>
              <w:end w:w="100" w:type="dxa"/>
            </w:tcMar>
            <w:shd w:fill="F3F6F9"/>
          </w:tcPr>
          <w:p>
            <w:pPr>
              <w:spacing w:after="0" w:before="0"/>
            </w:pPr>
            <w:r/>
            <w:r>
              <w:rPr>
                <w:rFonts w:ascii="Aptos" w:hAnsi="Aptos"/>
                <w:b w:val="0"/>
                <w:sz w:val="15"/>
              </w:rPr>
              <w:t>Abstract Factory</w:t>
            </w:r>
          </w:p>
        </w:tc>
        <w:tc>
          <w:tcPr>
            <w:tcW w:type="dxa" w:w="7992"/>
            <w:vAlign w:val="center"/>
            <w:tcMar>
              <w:top w:w="80" w:type="dxa"/>
              <w:start w:w="100" w:type="dxa"/>
              <w:bottom w:w="80" w:type="dxa"/>
              <w:end w:w="100" w:type="dxa"/>
            </w:tcMar>
            <w:shd w:fill="F3F6F9"/>
          </w:tcPr>
          <w:p>
            <w:pPr>
              <w:spacing w:after="0" w:before="0"/>
            </w:pPr>
            <w:r/>
            <w:r>
              <w:rPr>
                <w:rFonts w:ascii="Aptos" w:hAnsi="Aptos"/>
                <w:b w:val="0"/>
                <w:sz w:val="15"/>
              </w:rPr>
              <w:t>Create the right connector configuration validator and descriptor for REST, SQL, GraphQL or proxy connector families.</w:t>
            </w:r>
          </w:p>
        </w:tc>
      </w:tr>
      <w:tr>
        <w:trPr>
          <w:cantSplit/>
        </w:trPr>
        <w:tc>
          <w:tcPr>
            <w:tcW w:type="dxa" w:w="2232"/>
            <w:vAlign w:val="center"/>
            <w:tcMar>
              <w:top w:w="80" w:type="dxa"/>
              <w:start w:w="100" w:type="dxa"/>
              <w:bottom w:w="80" w:type="dxa"/>
              <w:end w:w="100" w:type="dxa"/>
            </w:tcMar>
          </w:tcPr>
          <w:p>
            <w:pPr>
              <w:spacing w:after="0" w:before="0"/>
            </w:pPr>
            <w:r/>
            <w:r>
              <w:rPr>
                <w:rFonts w:ascii="Aptos" w:hAnsi="Aptos"/>
                <w:b w:val="0"/>
                <w:sz w:val="15"/>
              </w:rPr>
              <w:t>Strategy</w:t>
            </w:r>
          </w:p>
        </w:tc>
        <w:tc>
          <w:tcPr>
            <w:tcW w:type="dxa" w:w="7992"/>
            <w:vAlign w:val="center"/>
            <w:tcMar>
              <w:top w:w="80" w:type="dxa"/>
              <w:start w:w="100" w:type="dxa"/>
              <w:bottom w:w="80" w:type="dxa"/>
              <w:end w:w="100" w:type="dxa"/>
            </w:tcMar>
          </w:tcPr>
          <w:p>
            <w:pPr>
              <w:spacing w:after="0" w:before="0"/>
            </w:pPr>
            <w:r/>
            <w:r>
              <w:rPr>
                <w:rFonts w:ascii="Aptos" w:hAnsi="Aptos"/>
                <w:b w:val="0"/>
                <w:sz w:val="15"/>
              </w:rPr>
              <w:t>Apply connector-type-specific validation and policy (for example REST method policy versus SQL read-only policy).</w:t>
            </w:r>
          </w:p>
        </w:tc>
      </w:tr>
      <w:tr>
        <w:trPr>
          <w:cantSplit/>
        </w:trPr>
        <w:tc>
          <w:tcPr>
            <w:tcW w:type="dxa" w:w="2232"/>
            <w:vAlign w:val="center"/>
            <w:tcMar>
              <w:top w:w="80" w:type="dxa"/>
              <w:start w:w="100" w:type="dxa"/>
              <w:bottom w:w="80" w:type="dxa"/>
              <w:end w:w="100" w:type="dxa"/>
            </w:tcMar>
            <w:shd w:fill="F3F6F9"/>
          </w:tcPr>
          <w:p>
            <w:pPr>
              <w:spacing w:after="0" w:before="0"/>
            </w:pPr>
            <w:r/>
            <w:r>
              <w:rPr>
                <w:rFonts w:ascii="Aptos" w:hAnsi="Aptos"/>
                <w:b w:val="0"/>
                <w:sz w:val="15"/>
              </w:rPr>
              <w:t>Builder</w:t>
            </w:r>
          </w:p>
        </w:tc>
        <w:tc>
          <w:tcPr>
            <w:tcW w:type="dxa" w:w="7992"/>
            <w:vAlign w:val="center"/>
            <w:tcMar>
              <w:top w:w="80" w:type="dxa"/>
              <w:start w:w="100" w:type="dxa"/>
              <w:bottom w:w="80" w:type="dxa"/>
              <w:end w:w="100" w:type="dxa"/>
            </w:tcMar>
            <w:shd w:fill="F3F6F9"/>
          </w:tcPr>
          <w:p>
            <w:pPr>
              <w:spacing w:after="0" w:before="0"/>
            </w:pPr>
            <w:r/>
            <w:r>
              <w:rPr>
                <w:rFonts w:ascii="Aptos" w:hAnsi="Aptos"/>
                <w:b w:val="0"/>
                <w:sz w:val="15"/>
              </w:rPr>
              <w:t>Construct a complete connector configuration and reject missing mandatory properties before saving.</w:t>
            </w:r>
          </w:p>
        </w:tc>
      </w:tr>
      <w:tr>
        <w:trPr>
          <w:cantSplit/>
        </w:trPr>
        <w:tc>
          <w:tcPr>
            <w:tcW w:type="dxa" w:w="2232"/>
            <w:vAlign w:val="center"/>
            <w:tcMar>
              <w:top w:w="80" w:type="dxa"/>
              <w:start w:w="100" w:type="dxa"/>
              <w:bottom w:w="80" w:type="dxa"/>
              <w:end w:w="100" w:type="dxa"/>
            </w:tcMar>
          </w:tcPr>
          <w:p>
            <w:pPr>
              <w:spacing w:after="0" w:before="0"/>
            </w:pPr>
            <w:r/>
            <w:r>
              <w:rPr>
                <w:rFonts w:ascii="Aptos" w:hAnsi="Aptos"/>
                <w:b w:val="0"/>
                <w:sz w:val="15"/>
              </w:rPr>
              <w:t>Specification</w:t>
            </w:r>
          </w:p>
        </w:tc>
        <w:tc>
          <w:tcPr>
            <w:tcW w:type="dxa" w:w="7992"/>
            <w:vAlign w:val="center"/>
            <w:tcMar>
              <w:top w:w="80" w:type="dxa"/>
              <w:start w:w="100" w:type="dxa"/>
              <w:bottom w:w="80" w:type="dxa"/>
              <w:end w:w="100" w:type="dxa"/>
            </w:tcMar>
          </w:tcPr>
          <w:p>
            <w:pPr>
              <w:spacing w:after="0" w:before="0"/>
            </w:pPr>
            <w:r/>
            <w:r>
              <w:rPr>
                <w:rFonts w:ascii="Aptos" w:hAnsi="Aptos"/>
                <w:b w:val="0"/>
                <w:sz w:val="15"/>
              </w:rPr>
              <w:t>Apply endpoint allowlist, TLS, tenant ownership, allowed-method and read-only requirements.</w:t>
            </w:r>
          </w:p>
        </w:tc>
      </w:tr>
    </w:tbl>
    <w:p>
      <w:pPr>
        <w:spacing w:after="20"/>
      </w:pPr>
    </w:p>
    <w:p>
      <w:pPr>
        <w:pStyle w:val="Heading2"/>
        <w:keepNext/>
      </w:pPr>
      <w:r>
        <w:t>Data ownership</w:t>
      </w:r>
    </w:p>
    <w:p>
      <w:pPr>
        <w:spacing w:after="100"/>
      </w:pPr>
      <w:r>
        <w:t>Own database: connector_config_db. Suggested tables: connectors, connector_versions, connector_policies, credential_references, connector_tenant_bindings. Store Vault/KMS references only; secrets live in a dedicated secrets manager.</w:t>
      </w:r>
    </w:p>
    <w:p>
      <w:pPr>
        <w:pStyle w:val="Heading2"/>
        <w:keepNext/>
      </w:pPr>
      <w:r>
        <w:t>Representative interface</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1944"/>
            <w:vAlign w:val="center"/>
            <w:tcMar>
              <w:top w:w="80" w:type="dxa"/>
              <w:start w:w="100" w:type="dxa"/>
              <w:bottom w:w="80" w:type="dxa"/>
              <w:end w:w="100" w:type="dxa"/>
            </w:tcMar>
            <w:shd w:fill="17365D"/>
          </w:tcPr>
          <w:p>
            <w:pPr>
              <w:spacing w:after="0" w:before="0"/>
            </w:pPr>
            <w:r/>
            <w:r>
              <w:rPr>
                <w:rFonts w:ascii="Aptos" w:hAnsi="Aptos"/>
                <w:b/>
                <w:color w:val="FFFFFF"/>
                <w:sz w:val="15"/>
              </w:rPr>
              <w:t>Type</w:t>
            </w:r>
          </w:p>
        </w:tc>
        <w:tc>
          <w:tcPr>
            <w:tcW w:type="dxa" w:w="8280"/>
            <w:vAlign w:val="center"/>
            <w:tcMar>
              <w:top w:w="80" w:type="dxa"/>
              <w:start w:w="100" w:type="dxa"/>
              <w:bottom w:w="80" w:type="dxa"/>
              <w:end w:w="100" w:type="dxa"/>
            </w:tcMar>
            <w:shd w:fill="17365D"/>
          </w:tcPr>
          <w:p>
            <w:pPr>
              <w:spacing w:after="0" w:before="0"/>
            </w:pPr>
            <w:r/>
            <w:r>
              <w:rPr>
                <w:rFonts w:ascii="Aptos" w:hAnsi="Aptos"/>
                <w:b/>
                <w:color w:val="FFFFFF"/>
                <w:sz w:val="15"/>
              </w:rPr>
              <w:t>Contract / example</w:t>
            </w:r>
          </w:p>
        </w:tc>
      </w:tr>
      <w:tr>
        <w:trPr>
          <w:cantSplit/>
        </w:trPr>
        <w:tc>
          <w:tcPr>
            <w:tcW w:type="dxa" w:w="1944"/>
            <w:vAlign w:val="center"/>
            <w:tcMar>
              <w:top w:w="80" w:type="dxa"/>
              <w:start w:w="100" w:type="dxa"/>
              <w:bottom w:w="80" w:type="dxa"/>
              <w:end w:w="100" w:type="dxa"/>
            </w:tcMar>
            <w:shd w:fill="F3F6F9"/>
          </w:tcPr>
          <w:p>
            <w:pPr>
              <w:spacing w:after="0" w:before="0"/>
            </w:pPr>
            <w:r/>
            <w:r>
              <w:rPr>
                <w:rFonts w:ascii="Aptos" w:hAnsi="Aptos"/>
                <w:b w:val="0"/>
                <w:sz w:val="15"/>
              </w:rPr>
              <w:t>REST</w:t>
            </w:r>
          </w:p>
        </w:tc>
        <w:tc>
          <w:tcPr>
            <w:tcW w:type="dxa" w:w="8280"/>
            <w:vAlign w:val="center"/>
            <w:tcMar>
              <w:top w:w="80" w:type="dxa"/>
              <w:start w:w="100" w:type="dxa"/>
              <w:bottom w:w="80" w:type="dxa"/>
              <w:end w:w="100" w:type="dxa"/>
            </w:tcMar>
            <w:shd w:fill="F3F6F9"/>
          </w:tcPr>
          <w:p>
            <w:pPr>
              <w:spacing w:after="0" w:before="0"/>
            </w:pPr>
            <w:r/>
            <w:r>
              <w:rPr>
                <w:rFonts w:ascii="Aptos" w:hAnsi="Aptos"/>
                <w:b w:val="0"/>
                <w:sz w:val="15"/>
              </w:rPr>
              <w:t>POST /v1/connectors; GET /v1/connectors/{id}; PUT /v1/connectors/{id}; POST /v1/connectors/{id}/validate; POST /v1/connectors/{id}/disable</w:t>
            </w:r>
          </w:p>
        </w:tc>
      </w:tr>
      <w:tr>
        <w:trPr>
          <w:cantSplit/>
        </w:trPr>
        <w:tc>
          <w:tcPr>
            <w:tcW w:type="dxa" w:w="1944"/>
            <w:vAlign w:val="center"/>
            <w:tcMar>
              <w:top w:w="80" w:type="dxa"/>
              <w:start w:w="100" w:type="dxa"/>
              <w:bottom w:w="80" w:type="dxa"/>
              <w:end w:w="100" w:type="dxa"/>
            </w:tcMar>
          </w:tcPr>
          <w:p>
            <w:pPr>
              <w:spacing w:after="0" w:before="0"/>
            </w:pPr>
            <w:r/>
            <w:r>
              <w:rPr>
                <w:rFonts w:ascii="Aptos" w:hAnsi="Aptos"/>
                <w:b w:val="0"/>
                <w:sz w:val="15"/>
              </w:rPr>
              <w:t>Events out</w:t>
            </w:r>
          </w:p>
        </w:tc>
        <w:tc>
          <w:tcPr>
            <w:tcW w:type="dxa" w:w="8280"/>
            <w:vAlign w:val="center"/>
            <w:tcMar>
              <w:top w:w="80" w:type="dxa"/>
              <w:start w:w="100" w:type="dxa"/>
              <w:bottom w:w="80" w:type="dxa"/>
              <w:end w:w="100" w:type="dxa"/>
            </w:tcMar>
          </w:tcPr>
          <w:p>
            <w:pPr>
              <w:spacing w:after="0" w:before="0"/>
            </w:pPr>
            <w:r/>
            <w:r>
              <w:rPr>
                <w:rFonts w:ascii="Aptos" w:hAnsi="Aptos"/>
                <w:b w:val="0"/>
                <w:sz w:val="15"/>
              </w:rPr>
              <w:t>ConnectorCreated, ConnectorChanged, ConnectorDisabled, CredentialReferenceChanged</w:t>
            </w:r>
          </w:p>
        </w:tc>
      </w:tr>
      <w:tr>
        <w:trPr>
          <w:cantSplit/>
        </w:trPr>
        <w:tc>
          <w:tcPr>
            <w:tcW w:type="dxa" w:w="1944"/>
            <w:vAlign w:val="center"/>
            <w:tcMar>
              <w:top w:w="80" w:type="dxa"/>
              <w:start w:w="100" w:type="dxa"/>
              <w:bottom w:w="80" w:type="dxa"/>
              <w:end w:w="100" w:type="dxa"/>
            </w:tcMar>
            <w:shd w:fill="F3F6F9"/>
          </w:tcPr>
          <w:p>
            <w:pPr>
              <w:spacing w:after="0" w:before="0"/>
            </w:pPr>
            <w:r/>
            <w:r>
              <w:rPr>
                <w:rFonts w:ascii="Aptos" w:hAnsi="Aptos"/>
                <w:b w:val="0"/>
                <w:sz w:val="15"/>
              </w:rPr>
              <w:t>External integration</w:t>
            </w:r>
          </w:p>
        </w:tc>
        <w:tc>
          <w:tcPr>
            <w:tcW w:type="dxa" w:w="8280"/>
            <w:vAlign w:val="center"/>
            <w:tcMar>
              <w:top w:w="80" w:type="dxa"/>
              <w:start w:w="100" w:type="dxa"/>
              <w:bottom w:w="80" w:type="dxa"/>
              <w:end w:w="100" w:type="dxa"/>
            </w:tcMar>
            <w:shd w:fill="F3F6F9"/>
          </w:tcPr>
          <w:p>
            <w:pPr>
              <w:spacing w:after="0" w:before="0"/>
            </w:pPr>
            <w:r/>
            <w:r>
              <w:rPr>
                <w:rFonts w:ascii="Aptos" w:hAnsi="Aptos"/>
                <w:b w:val="0"/>
                <w:sz w:val="15"/>
              </w:rPr>
              <w:t>Vault/KMS APIs for secret references and rotation; never put secret values on event messages.</w:t>
            </w:r>
          </w:p>
        </w:tc>
      </w:tr>
    </w:tbl>
    <w:p>
      <w:pPr>
        <w:spacing w:after="20"/>
      </w:pPr>
    </w:p>
    <w:p>
      <w:pPr>
        <w:pStyle w:val="Heading2"/>
        <w:keepNext/>
      </w:pPr>
      <w:r>
        <w:t>Must not own / boundary rules</w:t>
      </w:r>
    </w:p>
    <w:p>
      <w:pPr>
        <w:pStyle w:val="ListBullet"/>
        <w:keepLines/>
        <w:spacing w:after="40"/>
      </w:pPr>
      <w:r>
        <w:t>Does not open customer connections to fetch live data; Connector Runtime does that.</w:t>
      </w:r>
    </w:p>
    <w:p>
      <w:pPr>
        <w:pStyle w:val="ListBullet"/>
        <w:keepLines/>
        <w:spacing w:after="40"/>
      </w:pPr>
      <w:r>
        <w:t>Does not own credentials as plaintext or provide a general-purpose secrets database.</w:t>
      </w:r>
    </w:p>
    <w:p>
      <w:pPr>
        <w:pStyle w:val="ListBullet"/>
        <w:keepLines/>
        <w:spacing w:after="40"/>
      </w:pPr>
      <w:r>
        <w:t>Does not store blueprint logic or tool catalog entries.</w:t>
      </w:r>
    </w:p>
    <w:p>
      <w:pPr>
        <w:pStyle w:val="Heading2"/>
        <w:keepNext/>
      </w:pPr>
      <w:r>
        <w:t>Key implementation notes</w:t>
      </w:r>
    </w:p>
    <w:p>
      <w:pPr>
        <w:pStyle w:val="ListBullet"/>
        <w:keepLines/>
        <w:spacing w:after="40"/>
      </w:pPr>
      <w:r>
        <w:t>Treat endpoint configuration as an SSRF and exfiltration risk: allowlist destinations, block metadata/link-local ranges where appropriate, and restrict redirects.</w:t>
      </w:r>
    </w:p>
    <w:p>
      <w:pPr>
        <w:pStyle w:val="ListBullet"/>
        <w:keepLines/>
        <w:spacing w:after="40"/>
      </w:pPr>
      <w:r>
        <w:t>SQL connector profiles should use read-only database credentials and approved query/template definitions.</w:t>
      </w:r>
    </w:p>
    <w:p>
      <w:pPr>
        <w:pStyle w:val="Heading1"/>
        <w:keepNext/>
      </w:pPr>
      <w:r>
        <w:t>07. MCP Protocol Gateway Service</w:t>
      </w:r>
    </w:p>
    <w:p>
      <w:pPr>
        <w:keepNext/>
        <w:spacing w:after="140"/>
      </w:pPr>
      <w:r>
        <w:rPr>
          <w:i/>
          <w:color w:val="4B6982"/>
          <w:sz w:val="20"/>
        </w:rPr>
        <w:t>Data Plane | MCP / JSON-RPC protocol boundary for AI Hosts</w:t>
      </w:r>
    </w:p>
    <w:p>
      <w:pPr>
        <w:pStyle w:val="Heading2"/>
        <w:keepNext/>
      </w:pPr>
      <w:r>
        <w:t>Purpose and bounded context</w:t>
      </w:r>
    </w:p>
    <w:p>
      <w:pPr>
        <w:spacing w:after="100"/>
      </w:pPr>
      <w:r>
        <w:t>Implements the MCP-facing protocol boundary. It handles MCP transport, JSON-RPC validation, client/session handling where required, tool discovery and tool-call translation into internal execution commands.</w:t>
      </w:r>
    </w:p>
    <w:p>
      <w:pPr>
        <w:pStyle w:val="Heading2"/>
        <w:keepNext/>
      </w:pPr>
      <w:r>
        <w:t>Responsibilities</w:t>
      </w:r>
    </w:p>
    <w:p>
      <w:pPr>
        <w:pStyle w:val="ListBullet"/>
        <w:keepLines/>
        <w:spacing w:after="40"/>
      </w:pPr>
      <w:r>
        <w:t>Expose the configured MCP transport endpoint.</w:t>
      </w:r>
    </w:p>
    <w:p>
      <w:pPr>
        <w:pStyle w:val="ListBullet"/>
        <w:keepLines/>
        <w:spacing w:after="40"/>
      </w:pPr>
      <w:r>
        <w:t>Handle initialize, tool listing and tool invocation protocol operations supported by the chosen MCP SDK/version.</w:t>
      </w:r>
    </w:p>
    <w:p>
      <w:pPr>
        <w:pStyle w:val="ListBullet"/>
        <w:keepLines/>
        <w:spacing w:after="40"/>
      </w:pPr>
      <w:r>
        <w:t>Validate request structure and input schema.</w:t>
      </w:r>
    </w:p>
    <w:p>
      <w:pPr>
        <w:pStyle w:val="ListBullet"/>
        <w:keepLines/>
        <w:spacing w:after="40"/>
      </w:pPr>
      <w:r>
        <w:t>Validate JWT issuer, audience, signature and expiry; establish trusted request context.</w:t>
      </w:r>
    </w:p>
    <w:p>
      <w:pPr>
        <w:pStyle w:val="ListBullet"/>
        <w:keepLines/>
        <w:spacing w:after="40"/>
      </w:pPr>
      <w:r>
        <w:t>Obtain authorization decision and invoke Execution Orchestrator.</w:t>
      </w:r>
    </w:p>
    <w:p>
      <w:pPr>
        <w:pStyle w:val="ListBullet"/>
        <w:keepLines/>
        <w:spacing w:after="40"/>
      </w:pPr>
      <w:r>
        <w:t>Maintain a local runtime registry projection refreshed from Tool Catalog events/snapshots.</w:t>
      </w:r>
    </w:p>
    <w:p>
      <w:pPr>
        <w:pStyle w:val="Heading2"/>
        <w:keepNext/>
      </w:pPr>
      <w:r>
        <w:t>Recommended design patterns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232"/>
            <w:vAlign w:val="center"/>
            <w:tcMar>
              <w:top w:w="80" w:type="dxa"/>
              <w:start w:w="100" w:type="dxa"/>
              <w:bottom w:w="80" w:type="dxa"/>
              <w:end w:w="100" w:type="dxa"/>
            </w:tcMar>
            <w:shd w:fill="17365D"/>
          </w:tcPr>
          <w:p>
            <w:pPr>
              <w:spacing w:after="0" w:before="0"/>
            </w:pPr>
            <w:r/>
            <w:r>
              <w:rPr>
                <w:rFonts w:ascii="Aptos" w:hAnsi="Aptos"/>
                <w:b/>
                <w:color w:val="FFFFFF"/>
                <w:sz w:val="15"/>
              </w:rPr>
              <w:t>Pattern</w:t>
            </w:r>
          </w:p>
        </w:tc>
        <w:tc>
          <w:tcPr>
            <w:tcW w:type="dxa" w:w="7992"/>
            <w:vAlign w:val="center"/>
            <w:tcMar>
              <w:top w:w="80" w:type="dxa"/>
              <w:start w:w="100" w:type="dxa"/>
              <w:bottom w:w="80" w:type="dxa"/>
              <w:end w:w="100" w:type="dxa"/>
            </w:tcMar>
            <w:shd w:fill="17365D"/>
          </w:tcPr>
          <w:p>
            <w:pPr>
              <w:spacing w:after="0" w:before="0"/>
            </w:pPr>
            <w:r/>
            <w:r>
              <w:rPr>
                <w:rFonts w:ascii="Aptos" w:hAnsi="Aptos"/>
                <w:b/>
                <w:color w:val="FFFFFF"/>
                <w:sz w:val="15"/>
              </w:rPr>
              <w:t>How to apply it here</w:t>
            </w:r>
          </w:p>
        </w:tc>
      </w:tr>
      <w:tr>
        <w:trPr>
          <w:cantSplit/>
        </w:trPr>
        <w:tc>
          <w:tcPr>
            <w:tcW w:type="dxa" w:w="2232"/>
            <w:vAlign w:val="center"/>
            <w:tcMar>
              <w:top w:w="80" w:type="dxa"/>
              <w:start w:w="100" w:type="dxa"/>
              <w:bottom w:w="80" w:type="dxa"/>
              <w:end w:w="100" w:type="dxa"/>
            </w:tcMar>
            <w:shd w:fill="F3F6F9"/>
          </w:tcPr>
          <w:p>
            <w:pPr>
              <w:spacing w:after="0" w:before="0"/>
            </w:pPr>
            <w:r/>
            <w:r>
              <w:rPr>
                <w:rFonts w:ascii="Aptos" w:hAnsi="Aptos"/>
                <w:b w:val="0"/>
                <w:sz w:val="15"/>
              </w:rPr>
              <w:t>Hexagonal Architecture</w:t>
            </w:r>
          </w:p>
        </w:tc>
        <w:tc>
          <w:tcPr>
            <w:tcW w:type="dxa" w:w="7992"/>
            <w:vAlign w:val="center"/>
            <w:tcMar>
              <w:top w:w="80" w:type="dxa"/>
              <w:start w:w="100" w:type="dxa"/>
              <w:bottom w:w="80" w:type="dxa"/>
              <w:end w:w="100" w:type="dxa"/>
            </w:tcMar>
            <w:shd w:fill="F3F6F9"/>
          </w:tcPr>
          <w:p>
            <w:pPr>
              <w:spacing w:after="0" w:before="0"/>
            </w:pPr>
            <w:r/>
            <w:r>
              <w:rPr>
                <w:rFonts w:ascii="Aptos" w:hAnsi="Aptos"/>
                <w:b w:val="0"/>
                <w:sz w:val="15"/>
              </w:rPr>
              <w:t>Treat MCP transport as an inbound adapter and internal execution/catalog clients as outbound ports.</w:t>
            </w:r>
          </w:p>
        </w:tc>
      </w:tr>
      <w:tr>
        <w:trPr>
          <w:cantSplit/>
        </w:trPr>
        <w:tc>
          <w:tcPr>
            <w:tcW w:type="dxa" w:w="2232"/>
            <w:vAlign w:val="center"/>
            <w:tcMar>
              <w:top w:w="80" w:type="dxa"/>
              <w:start w:w="100" w:type="dxa"/>
              <w:bottom w:w="80" w:type="dxa"/>
              <w:end w:w="100" w:type="dxa"/>
            </w:tcMar>
          </w:tcPr>
          <w:p>
            <w:pPr>
              <w:spacing w:after="0" w:before="0"/>
            </w:pPr>
            <w:r/>
            <w:r>
              <w:rPr>
                <w:rFonts w:ascii="Aptos" w:hAnsi="Aptos"/>
                <w:b w:val="0"/>
                <w:sz w:val="15"/>
              </w:rPr>
              <w:t>Adapter</w:t>
            </w:r>
          </w:p>
        </w:tc>
        <w:tc>
          <w:tcPr>
            <w:tcW w:type="dxa" w:w="7992"/>
            <w:vAlign w:val="center"/>
            <w:tcMar>
              <w:top w:w="80" w:type="dxa"/>
              <w:start w:w="100" w:type="dxa"/>
              <w:bottom w:w="80" w:type="dxa"/>
              <w:end w:w="100" w:type="dxa"/>
            </w:tcMar>
          </w:tcPr>
          <w:p>
            <w:pPr>
              <w:spacing w:after="0" w:before="0"/>
            </w:pPr>
            <w:r/>
            <w:r>
              <w:rPr>
                <w:rFonts w:ascii="Aptos" w:hAnsi="Aptos"/>
                <w:b w:val="0"/>
                <w:sz w:val="15"/>
              </w:rPr>
              <w:t>Translate MCP JSON-RPC requests/results to OmniTruth internal command and response contracts.</w:t>
            </w:r>
          </w:p>
        </w:tc>
      </w:tr>
      <w:tr>
        <w:trPr>
          <w:cantSplit/>
        </w:trPr>
        <w:tc>
          <w:tcPr>
            <w:tcW w:type="dxa" w:w="2232"/>
            <w:vAlign w:val="center"/>
            <w:tcMar>
              <w:top w:w="80" w:type="dxa"/>
              <w:start w:w="100" w:type="dxa"/>
              <w:bottom w:w="80" w:type="dxa"/>
              <w:end w:w="100" w:type="dxa"/>
            </w:tcMar>
            <w:shd w:fill="F3F6F9"/>
          </w:tcPr>
          <w:p>
            <w:pPr>
              <w:spacing w:after="0" w:before="0"/>
            </w:pPr>
            <w:r/>
            <w:r>
              <w:rPr>
                <w:rFonts w:ascii="Aptos" w:hAnsi="Aptos"/>
                <w:b w:val="0"/>
                <w:sz w:val="15"/>
              </w:rPr>
              <w:t>Facade</w:t>
            </w:r>
          </w:p>
        </w:tc>
        <w:tc>
          <w:tcPr>
            <w:tcW w:type="dxa" w:w="7992"/>
            <w:vAlign w:val="center"/>
            <w:tcMar>
              <w:top w:w="80" w:type="dxa"/>
              <w:start w:w="100" w:type="dxa"/>
              <w:bottom w:w="80" w:type="dxa"/>
              <w:end w:w="100" w:type="dxa"/>
            </w:tcMar>
            <w:shd w:fill="F3F6F9"/>
          </w:tcPr>
          <w:p>
            <w:pPr>
              <w:spacing w:after="0" w:before="0"/>
            </w:pPr>
            <w:r/>
            <w:r>
              <w:rPr>
                <w:rFonts w:ascii="Aptos" w:hAnsi="Aptos"/>
                <w:b w:val="0"/>
                <w:sz w:val="15"/>
              </w:rPr>
              <w:t>Present one stable protocol boundary while hiding orchestration and connector complexity behind internal APIs.</w:t>
            </w:r>
          </w:p>
        </w:tc>
      </w:tr>
      <w:tr>
        <w:trPr>
          <w:cantSplit/>
        </w:trPr>
        <w:tc>
          <w:tcPr>
            <w:tcW w:type="dxa" w:w="2232"/>
            <w:vAlign w:val="center"/>
            <w:tcMar>
              <w:top w:w="80" w:type="dxa"/>
              <w:start w:w="100" w:type="dxa"/>
              <w:bottom w:w="80" w:type="dxa"/>
              <w:end w:w="100" w:type="dxa"/>
            </w:tcMar>
          </w:tcPr>
          <w:p>
            <w:pPr>
              <w:spacing w:after="0" w:before="0"/>
            </w:pPr>
            <w:r/>
            <w:r>
              <w:rPr>
                <w:rFonts w:ascii="Aptos" w:hAnsi="Aptos"/>
                <w:b w:val="0"/>
                <w:sz w:val="15"/>
              </w:rPr>
              <w:t>Registry</w:t>
            </w:r>
          </w:p>
        </w:tc>
        <w:tc>
          <w:tcPr>
            <w:tcW w:type="dxa" w:w="7992"/>
            <w:vAlign w:val="center"/>
            <w:tcMar>
              <w:top w:w="80" w:type="dxa"/>
              <w:start w:w="100" w:type="dxa"/>
              <w:bottom w:w="80" w:type="dxa"/>
              <w:end w:w="100" w:type="dxa"/>
            </w:tcMar>
          </w:tcPr>
          <w:p>
            <w:pPr>
              <w:spacing w:after="0" w:before="0"/>
            </w:pPr>
            <w:r/>
            <w:r>
              <w:rPr>
                <w:rFonts w:ascii="Aptos" w:hAnsi="Aptos"/>
                <w:b w:val="0"/>
                <w:sz w:val="15"/>
              </w:rPr>
              <w:t>Maintain a read-only in-memory projection of published tool descriptors for fast tools/list responses.</w:t>
            </w:r>
          </w:p>
        </w:tc>
      </w:tr>
    </w:tbl>
    <w:p>
      <w:pPr>
        <w:spacing w:after="20"/>
      </w:pPr>
    </w:p>
    <w:p>
      <w:pPr>
        <w:pStyle w:val="Heading2"/>
        <w:keepNext/>
      </w:pPr>
      <w:r>
        <w:t>Data ownership</w:t>
      </w:r>
    </w:p>
    <w:p>
      <w:pPr>
        <w:spacing w:after="100"/>
      </w:pPr>
      <w:r>
        <w:t>No business database. Optional Redis/session store only if the selected MCP transport requires shared session state. Tool registry is a cache/projection, not the authoritative tool database.</w:t>
      </w:r>
    </w:p>
    <w:p>
      <w:pPr>
        <w:pStyle w:val="Heading2"/>
        <w:keepNext/>
      </w:pPr>
      <w:r>
        <w:t>Representative interface</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1944"/>
            <w:vAlign w:val="center"/>
            <w:tcMar>
              <w:top w:w="80" w:type="dxa"/>
              <w:start w:w="100" w:type="dxa"/>
              <w:bottom w:w="80" w:type="dxa"/>
              <w:end w:w="100" w:type="dxa"/>
            </w:tcMar>
            <w:shd w:fill="17365D"/>
          </w:tcPr>
          <w:p>
            <w:pPr>
              <w:spacing w:after="0" w:before="0"/>
            </w:pPr>
            <w:r/>
            <w:r>
              <w:rPr>
                <w:rFonts w:ascii="Aptos" w:hAnsi="Aptos"/>
                <w:b/>
                <w:color w:val="FFFFFF"/>
                <w:sz w:val="15"/>
              </w:rPr>
              <w:t>Type</w:t>
            </w:r>
          </w:p>
        </w:tc>
        <w:tc>
          <w:tcPr>
            <w:tcW w:type="dxa" w:w="8280"/>
            <w:vAlign w:val="center"/>
            <w:tcMar>
              <w:top w:w="80" w:type="dxa"/>
              <w:start w:w="100" w:type="dxa"/>
              <w:bottom w:w="80" w:type="dxa"/>
              <w:end w:w="100" w:type="dxa"/>
            </w:tcMar>
            <w:shd w:fill="17365D"/>
          </w:tcPr>
          <w:p>
            <w:pPr>
              <w:spacing w:after="0" w:before="0"/>
            </w:pPr>
            <w:r/>
            <w:r>
              <w:rPr>
                <w:rFonts w:ascii="Aptos" w:hAnsi="Aptos"/>
                <w:b/>
                <w:color w:val="FFFFFF"/>
                <w:sz w:val="15"/>
              </w:rPr>
              <w:t>Contract / example</w:t>
            </w:r>
          </w:p>
        </w:tc>
      </w:tr>
      <w:tr>
        <w:trPr>
          <w:cantSplit/>
        </w:trPr>
        <w:tc>
          <w:tcPr>
            <w:tcW w:type="dxa" w:w="1944"/>
            <w:vAlign w:val="center"/>
            <w:tcMar>
              <w:top w:w="80" w:type="dxa"/>
              <w:start w:w="100" w:type="dxa"/>
              <w:bottom w:w="80" w:type="dxa"/>
              <w:end w:w="100" w:type="dxa"/>
            </w:tcMar>
            <w:shd w:fill="F3F6F9"/>
          </w:tcPr>
          <w:p>
            <w:pPr>
              <w:spacing w:after="0" w:before="0"/>
            </w:pPr>
            <w:r/>
            <w:r>
              <w:rPr>
                <w:rFonts w:ascii="Aptos" w:hAnsi="Aptos"/>
                <w:b w:val="0"/>
                <w:sz w:val="15"/>
              </w:rPr>
              <w:t>MCP</w:t>
            </w:r>
          </w:p>
        </w:tc>
        <w:tc>
          <w:tcPr>
            <w:tcW w:type="dxa" w:w="8280"/>
            <w:vAlign w:val="center"/>
            <w:tcMar>
              <w:top w:w="80" w:type="dxa"/>
              <w:start w:w="100" w:type="dxa"/>
              <w:bottom w:w="80" w:type="dxa"/>
              <w:end w:w="100" w:type="dxa"/>
            </w:tcMar>
            <w:shd w:fill="F3F6F9"/>
          </w:tcPr>
          <w:p>
            <w:pPr>
              <w:spacing w:after="0" w:before="0"/>
            </w:pPr>
            <w:r/>
            <w:r>
              <w:rPr>
                <w:rFonts w:ascii="Aptos" w:hAnsi="Aptos"/>
                <w:b w:val="0"/>
                <w:sz w:val="15"/>
              </w:rPr>
              <w:t>/mcp endpoint (exact transport path and protocol version must match the selected MCP SDK and client compatibility requirements).</w:t>
            </w:r>
          </w:p>
        </w:tc>
      </w:tr>
      <w:tr>
        <w:trPr>
          <w:cantSplit/>
        </w:trPr>
        <w:tc>
          <w:tcPr>
            <w:tcW w:type="dxa" w:w="1944"/>
            <w:vAlign w:val="center"/>
            <w:tcMar>
              <w:top w:w="80" w:type="dxa"/>
              <w:start w:w="100" w:type="dxa"/>
              <w:bottom w:w="80" w:type="dxa"/>
              <w:end w:w="100" w:type="dxa"/>
            </w:tcMar>
          </w:tcPr>
          <w:p>
            <w:pPr>
              <w:spacing w:after="0" w:before="0"/>
            </w:pPr>
            <w:r/>
            <w:r>
              <w:rPr>
                <w:rFonts w:ascii="Aptos" w:hAnsi="Aptos"/>
                <w:b w:val="0"/>
                <w:sz w:val="15"/>
              </w:rPr>
              <w:t>Internal</w:t>
            </w:r>
          </w:p>
        </w:tc>
        <w:tc>
          <w:tcPr>
            <w:tcW w:type="dxa" w:w="8280"/>
            <w:vAlign w:val="center"/>
            <w:tcMar>
              <w:top w:w="80" w:type="dxa"/>
              <w:start w:w="100" w:type="dxa"/>
              <w:bottom w:w="80" w:type="dxa"/>
              <w:end w:w="100" w:type="dxa"/>
            </w:tcMar>
          </w:tcPr>
          <w:p>
            <w:pPr>
              <w:spacing w:after="0" w:before="0"/>
            </w:pPr>
            <w:r/>
            <w:r>
              <w:rPr>
                <w:rFonts w:ascii="Aptos" w:hAnsi="Aptos"/>
                <w:b w:val="0"/>
                <w:sz w:val="15"/>
              </w:rPr>
              <w:t>POST /internal/v1/authorization/decisions; POST /internal/v1/executions; GET /internal/v1/tool-catalog/snapshot</w:t>
            </w:r>
          </w:p>
        </w:tc>
      </w:tr>
      <w:tr>
        <w:trPr>
          <w:cantSplit/>
        </w:trPr>
        <w:tc>
          <w:tcPr>
            <w:tcW w:type="dxa" w:w="1944"/>
            <w:vAlign w:val="center"/>
            <w:tcMar>
              <w:top w:w="80" w:type="dxa"/>
              <w:start w:w="100" w:type="dxa"/>
              <w:bottom w:w="80" w:type="dxa"/>
              <w:end w:w="100" w:type="dxa"/>
            </w:tcMar>
            <w:shd w:fill="F3F6F9"/>
          </w:tcPr>
          <w:p>
            <w:pPr>
              <w:spacing w:after="0" w:before="0"/>
            </w:pPr>
            <w:r/>
            <w:r>
              <w:rPr>
                <w:rFonts w:ascii="Aptos" w:hAnsi="Aptos"/>
                <w:b w:val="0"/>
                <w:sz w:val="15"/>
              </w:rPr>
              <w:t>Events in</w:t>
            </w:r>
          </w:p>
        </w:tc>
        <w:tc>
          <w:tcPr>
            <w:tcW w:type="dxa" w:w="8280"/>
            <w:vAlign w:val="center"/>
            <w:tcMar>
              <w:top w:w="80" w:type="dxa"/>
              <w:start w:w="100" w:type="dxa"/>
              <w:bottom w:w="80" w:type="dxa"/>
              <w:end w:w="100" w:type="dxa"/>
            </w:tcMar>
            <w:shd w:fill="F3F6F9"/>
          </w:tcPr>
          <w:p>
            <w:pPr>
              <w:spacing w:after="0" w:before="0"/>
            </w:pPr>
            <w:r/>
            <w:r>
              <w:rPr>
                <w:rFonts w:ascii="Aptos" w:hAnsi="Aptos"/>
                <w:b w:val="0"/>
                <w:sz w:val="15"/>
              </w:rPr>
              <w:t>ToolPublished, ToolUnpublished, ToolMetadataChanged; gateway refreshes its local projection.</w:t>
            </w:r>
          </w:p>
        </w:tc>
      </w:tr>
    </w:tbl>
    <w:p>
      <w:pPr>
        <w:spacing w:after="20"/>
      </w:pPr>
    </w:p>
    <w:p>
      <w:pPr>
        <w:pStyle w:val="Heading2"/>
        <w:keepNext/>
      </w:pPr>
      <w:r>
        <w:t>Must not own / boundary rules</w:t>
      </w:r>
    </w:p>
    <w:p>
      <w:pPr>
        <w:pStyle w:val="ListBullet"/>
        <w:keepLines/>
        <w:spacing w:after="40"/>
      </w:pPr>
      <w:r>
        <w:t>Does not implement business rules, source-system connectors or data normalization.</w:t>
      </w:r>
    </w:p>
    <w:p>
      <w:pPr>
        <w:pStyle w:val="ListBullet"/>
        <w:keepLines/>
        <w:spacing w:after="40"/>
      </w:pPr>
      <w:r>
        <w:t>Does not trust userId or tenantId supplied only in tool arguments or arbitrary headers.</w:t>
      </w:r>
    </w:p>
    <w:p>
      <w:pPr>
        <w:pStyle w:val="ListBullet"/>
        <w:keepLines/>
        <w:spacing w:after="40"/>
      </w:pPr>
      <w:r>
        <w:t>Does not own tool metadata as a separate source of truth.</w:t>
      </w:r>
    </w:p>
    <w:p>
      <w:pPr>
        <w:pStyle w:val="Heading2"/>
        <w:keepNext/>
      </w:pPr>
      <w:r>
        <w:t>Key implementation notes</w:t>
      </w:r>
    </w:p>
    <w:p>
      <w:pPr>
        <w:pStyle w:val="ListBullet"/>
        <w:keepLines/>
        <w:spacing w:after="40"/>
      </w:pPr>
      <w:r>
        <w:t>Check compatibility with the exact MCP transport and SDK version. The source documents specify MCP over JSON-RPC but do not choose a precise transport/session model.</w:t>
      </w:r>
    </w:p>
    <w:p>
      <w:pPr>
        <w:pStyle w:val="ListBullet"/>
        <w:keepLines/>
        <w:spacing w:after="40"/>
      </w:pPr>
      <w:r>
        <w:t>Authenticate the AI Host/client connection and the end-user identity separately where the deployment topology requires both identities.</w:t>
      </w:r>
    </w:p>
    <w:p>
      <w:pPr>
        <w:pStyle w:val="Heading1"/>
        <w:keepNext/>
      </w:pPr>
      <w:r>
        <w:t>08. Execution Orchestrator Service</w:t>
      </w:r>
    </w:p>
    <w:p>
      <w:pPr>
        <w:keepNext/>
        <w:spacing w:after="140"/>
      </w:pPr>
      <w:r>
        <w:rPr>
          <w:i/>
          <w:color w:val="4B6982"/>
          <w:sz w:val="20"/>
        </w:rPr>
        <w:t>Data Plane | Coordinates one end-to-end deterministic tool execution</w:t>
      </w:r>
    </w:p>
    <w:p>
      <w:pPr>
        <w:pStyle w:val="Heading2"/>
        <w:keepNext/>
      </w:pPr>
      <w:r>
        <w:t>Purpose and bounded context</w:t>
      </w:r>
    </w:p>
    <w:p>
      <w:pPr>
        <w:spacing w:after="100"/>
      </w:pPr>
      <w:r>
        <w:t>Owns the execution lifecycle and coordinates the ordered steps required to answer a tool call. It is the workflow coordinator, not the implementation of connectors, privacy transformation or rule semantics.</w:t>
      </w:r>
    </w:p>
    <w:p>
      <w:pPr>
        <w:pStyle w:val="Heading2"/>
        <w:keepNext/>
      </w:pPr>
      <w:r>
        <w:t>Responsibilities</w:t>
      </w:r>
    </w:p>
    <w:p>
      <w:pPr>
        <w:pStyle w:val="ListBullet"/>
        <w:keepLines/>
        <w:spacing w:after="40"/>
      </w:pPr>
      <w:r>
        <w:t>Create an execution ID and correlation context.</w:t>
      </w:r>
    </w:p>
    <w:p>
      <w:pPr>
        <w:pStyle w:val="ListBullet"/>
        <w:keepLines/>
        <w:spacing w:after="40"/>
      </w:pPr>
      <w:r>
        <w:t>Resolve the pinned tool/blueprint/connector versions.</w:t>
      </w:r>
    </w:p>
    <w:p>
      <w:pPr>
        <w:pStyle w:val="ListBullet"/>
        <w:keepLines/>
        <w:spacing w:after="40"/>
      </w:pPr>
      <w:r>
        <w:t>Coordinate authorization result, fetch, normalization, rule evaluation and Truth Card creation.</w:t>
      </w:r>
    </w:p>
    <w:p>
      <w:pPr>
        <w:pStyle w:val="ListBullet"/>
        <w:keepLines/>
        <w:spacing w:after="40"/>
      </w:pPr>
      <w:r>
        <w:t>Apply end-to-end deadline, idempotency and cancellation policy.</w:t>
      </w:r>
    </w:p>
    <w:p>
      <w:pPr>
        <w:pStyle w:val="ListBullet"/>
        <w:keepLines/>
        <w:spacing w:after="40"/>
      </w:pPr>
      <w:r>
        <w:t>Map stage failures into typed execution outcomes.</w:t>
      </w:r>
    </w:p>
    <w:p>
      <w:pPr>
        <w:pStyle w:val="ListBullet"/>
        <w:keepLines/>
        <w:spacing w:after="40"/>
      </w:pPr>
      <w:r>
        <w:t>Emit ExecutionStarted, ExecutionCompleted and ExecutionFailed events.</w:t>
      </w:r>
    </w:p>
    <w:p>
      <w:pPr>
        <w:pStyle w:val="Heading2"/>
        <w:keepNext/>
      </w:pPr>
      <w:r>
        <w:t>Recommended design patterns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232"/>
            <w:vAlign w:val="center"/>
            <w:tcMar>
              <w:top w:w="80" w:type="dxa"/>
              <w:start w:w="100" w:type="dxa"/>
              <w:bottom w:w="80" w:type="dxa"/>
              <w:end w:w="100" w:type="dxa"/>
            </w:tcMar>
            <w:shd w:fill="17365D"/>
          </w:tcPr>
          <w:p>
            <w:pPr>
              <w:spacing w:after="0" w:before="0"/>
            </w:pPr>
            <w:r/>
            <w:r>
              <w:rPr>
                <w:rFonts w:ascii="Aptos" w:hAnsi="Aptos"/>
                <w:b/>
                <w:color w:val="FFFFFF"/>
                <w:sz w:val="15"/>
              </w:rPr>
              <w:t>Pattern</w:t>
            </w:r>
          </w:p>
        </w:tc>
        <w:tc>
          <w:tcPr>
            <w:tcW w:type="dxa" w:w="7992"/>
            <w:vAlign w:val="center"/>
            <w:tcMar>
              <w:top w:w="80" w:type="dxa"/>
              <w:start w:w="100" w:type="dxa"/>
              <w:bottom w:w="80" w:type="dxa"/>
              <w:end w:w="100" w:type="dxa"/>
            </w:tcMar>
            <w:shd w:fill="17365D"/>
          </w:tcPr>
          <w:p>
            <w:pPr>
              <w:spacing w:after="0" w:before="0"/>
            </w:pPr>
            <w:r/>
            <w:r>
              <w:rPr>
                <w:rFonts w:ascii="Aptos" w:hAnsi="Aptos"/>
                <w:b/>
                <w:color w:val="FFFFFF"/>
                <w:sz w:val="15"/>
              </w:rPr>
              <w:t>How to apply it here</w:t>
            </w:r>
          </w:p>
        </w:tc>
      </w:tr>
      <w:tr>
        <w:trPr>
          <w:cantSplit/>
        </w:trPr>
        <w:tc>
          <w:tcPr>
            <w:tcW w:type="dxa" w:w="2232"/>
            <w:vAlign w:val="center"/>
            <w:tcMar>
              <w:top w:w="80" w:type="dxa"/>
              <w:start w:w="100" w:type="dxa"/>
              <w:bottom w:w="80" w:type="dxa"/>
              <w:end w:w="100" w:type="dxa"/>
            </w:tcMar>
            <w:shd w:fill="F3F6F9"/>
          </w:tcPr>
          <w:p>
            <w:pPr>
              <w:spacing w:after="0" w:before="0"/>
            </w:pPr>
            <w:r/>
            <w:r>
              <w:rPr>
                <w:rFonts w:ascii="Aptos" w:hAnsi="Aptos"/>
                <w:b w:val="0"/>
                <w:sz w:val="15"/>
              </w:rPr>
              <w:t>Orchestrator Pattern</w:t>
            </w:r>
          </w:p>
        </w:tc>
        <w:tc>
          <w:tcPr>
            <w:tcW w:type="dxa" w:w="7992"/>
            <w:vAlign w:val="center"/>
            <w:tcMar>
              <w:top w:w="80" w:type="dxa"/>
              <w:start w:w="100" w:type="dxa"/>
              <w:bottom w:w="80" w:type="dxa"/>
              <w:end w:w="100" w:type="dxa"/>
            </w:tcMar>
            <w:shd w:fill="F3F6F9"/>
          </w:tcPr>
          <w:p>
            <w:pPr>
              <w:spacing w:after="0" w:before="0"/>
            </w:pPr>
            <w:r/>
            <w:r>
              <w:rPr>
                <w:rFonts w:ascii="Aptos" w:hAnsi="Aptos"/>
                <w:b w:val="0"/>
                <w:sz w:val="15"/>
              </w:rPr>
              <w:t>One coordinator controls the ordered workflow; this avoids hidden, hard-to-debug service choreography in the synchronous MCP request path.</w:t>
            </w:r>
          </w:p>
        </w:tc>
      </w:tr>
      <w:tr>
        <w:trPr>
          <w:cantSplit/>
        </w:trPr>
        <w:tc>
          <w:tcPr>
            <w:tcW w:type="dxa" w:w="2232"/>
            <w:vAlign w:val="center"/>
            <w:tcMar>
              <w:top w:w="80" w:type="dxa"/>
              <w:start w:w="100" w:type="dxa"/>
              <w:bottom w:w="80" w:type="dxa"/>
              <w:end w:w="100" w:type="dxa"/>
            </w:tcMar>
          </w:tcPr>
          <w:p>
            <w:pPr>
              <w:spacing w:after="0" w:before="0"/>
            </w:pPr>
            <w:r/>
            <w:r>
              <w:rPr>
                <w:rFonts w:ascii="Aptos" w:hAnsi="Aptos"/>
                <w:b w:val="0"/>
                <w:sz w:val="15"/>
              </w:rPr>
              <w:t>Pipeline / Chain of Responsibility</w:t>
            </w:r>
          </w:p>
        </w:tc>
        <w:tc>
          <w:tcPr>
            <w:tcW w:type="dxa" w:w="7992"/>
            <w:vAlign w:val="center"/>
            <w:tcMar>
              <w:top w:w="80" w:type="dxa"/>
              <w:start w:w="100" w:type="dxa"/>
              <w:bottom w:w="80" w:type="dxa"/>
              <w:end w:w="100" w:type="dxa"/>
            </w:tcMar>
          </w:tcPr>
          <w:p>
            <w:pPr>
              <w:spacing w:after="0" w:before="0"/>
            </w:pPr>
            <w:r/>
            <w:r>
              <w:rPr>
                <w:rFonts w:ascii="Aptos" w:hAnsi="Aptos"/>
                <w:b w:val="0"/>
                <w:sz w:val="15"/>
              </w:rPr>
              <w:t>Represent the source workflow as explicit stages: Fetch → Normalize → Evaluate → Build Truth Result.</w:t>
            </w:r>
          </w:p>
        </w:tc>
      </w:tr>
      <w:tr>
        <w:trPr>
          <w:cantSplit/>
        </w:trPr>
        <w:tc>
          <w:tcPr>
            <w:tcW w:type="dxa" w:w="2232"/>
            <w:vAlign w:val="center"/>
            <w:tcMar>
              <w:top w:w="80" w:type="dxa"/>
              <w:start w:w="100" w:type="dxa"/>
              <w:bottom w:w="80" w:type="dxa"/>
              <w:end w:w="100" w:type="dxa"/>
            </w:tcMar>
            <w:shd w:fill="F3F6F9"/>
          </w:tcPr>
          <w:p>
            <w:pPr>
              <w:spacing w:after="0" w:before="0"/>
            </w:pPr>
            <w:r/>
            <w:r>
              <w:rPr>
                <w:rFonts w:ascii="Aptos" w:hAnsi="Aptos"/>
                <w:b w:val="0"/>
                <w:sz w:val="15"/>
              </w:rPr>
              <w:t>Command</w:t>
            </w:r>
          </w:p>
        </w:tc>
        <w:tc>
          <w:tcPr>
            <w:tcW w:type="dxa" w:w="7992"/>
            <w:vAlign w:val="center"/>
            <w:tcMar>
              <w:top w:w="80" w:type="dxa"/>
              <w:start w:w="100" w:type="dxa"/>
              <w:bottom w:w="80" w:type="dxa"/>
              <w:end w:w="100" w:type="dxa"/>
            </w:tcMar>
            <w:shd w:fill="F3F6F9"/>
          </w:tcPr>
          <w:p>
            <w:pPr>
              <w:spacing w:after="0" w:before="0"/>
            </w:pPr>
            <w:r/>
            <w:r>
              <w:rPr>
                <w:rFonts w:ascii="Aptos" w:hAnsi="Aptos"/>
                <w:b w:val="0"/>
                <w:sz w:val="15"/>
              </w:rPr>
              <w:t>Represent a requested tool execution as an immutable command with execution ID, tenant, subject, tool, arguments and pinned versions.</w:t>
            </w:r>
          </w:p>
        </w:tc>
      </w:tr>
      <w:tr>
        <w:trPr>
          <w:cantSplit/>
        </w:trPr>
        <w:tc>
          <w:tcPr>
            <w:tcW w:type="dxa" w:w="2232"/>
            <w:vAlign w:val="center"/>
            <w:tcMar>
              <w:top w:w="80" w:type="dxa"/>
              <w:start w:w="100" w:type="dxa"/>
              <w:bottom w:w="80" w:type="dxa"/>
              <w:end w:w="100" w:type="dxa"/>
            </w:tcMar>
          </w:tcPr>
          <w:p>
            <w:pPr>
              <w:spacing w:after="0" w:before="0"/>
            </w:pPr>
            <w:r/>
            <w:r>
              <w:rPr>
                <w:rFonts w:ascii="Aptos" w:hAnsi="Aptos"/>
                <w:b w:val="0"/>
                <w:sz w:val="15"/>
              </w:rPr>
              <w:t>Saga (only for long-running work)</w:t>
            </w:r>
          </w:p>
        </w:tc>
        <w:tc>
          <w:tcPr>
            <w:tcW w:type="dxa" w:w="7992"/>
            <w:vAlign w:val="center"/>
            <w:tcMar>
              <w:top w:w="80" w:type="dxa"/>
              <w:start w:w="100" w:type="dxa"/>
              <w:bottom w:w="80" w:type="dxa"/>
              <w:end w:w="100" w:type="dxa"/>
            </w:tcMar>
          </w:tcPr>
          <w:p>
            <w:pPr>
              <w:spacing w:after="0" w:before="0"/>
            </w:pPr>
            <w:r/>
            <w:r>
              <w:rPr>
                <w:rFonts w:ascii="Aptos" w:hAnsi="Aptos"/>
                <w:b w:val="0"/>
                <w:sz w:val="15"/>
              </w:rPr>
              <w:t>Use a saga/state machine only when execution becomes asynchronous and needs retries, waiting for human review or compensating actions. A simple synchronous read does not need a full saga.</w:t>
            </w:r>
          </w:p>
        </w:tc>
      </w:tr>
    </w:tbl>
    <w:p>
      <w:pPr>
        <w:spacing w:after="20"/>
      </w:pPr>
    </w:p>
    <w:p>
      <w:pPr>
        <w:pStyle w:val="Heading2"/>
        <w:keepNext/>
      </w:pPr>
      <w:r>
        <w:t>Data ownership</w:t>
      </w:r>
    </w:p>
    <w:p>
      <w:pPr>
        <w:spacing w:after="100"/>
      </w:pPr>
      <w:r>
        <w:t>Own database: execution_state_db only if durable execution status, replay or long-running work is required. For purely synchronous short reads, keep state ephemeral and use correlation IDs; do not persist raw customer payloads.</w:t>
      </w:r>
    </w:p>
    <w:p>
      <w:pPr>
        <w:pStyle w:val="Heading2"/>
        <w:keepNext/>
      </w:pPr>
      <w:r>
        <w:t>Representative interface</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1944"/>
            <w:vAlign w:val="center"/>
            <w:tcMar>
              <w:top w:w="80" w:type="dxa"/>
              <w:start w:w="100" w:type="dxa"/>
              <w:bottom w:w="80" w:type="dxa"/>
              <w:end w:w="100" w:type="dxa"/>
            </w:tcMar>
            <w:shd w:fill="17365D"/>
          </w:tcPr>
          <w:p>
            <w:pPr>
              <w:spacing w:after="0" w:before="0"/>
            </w:pPr>
            <w:r/>
            <w:r>
              <w:rPr>
                <w:rFonts w:ascii="Aptos" w:hAnsi="Aptos"/>
                <w:b/>
                <w:color w:val="FFFFFF"/>
                <w:sz w:val="15"/>
              </w:rPr>
              <w:t>Type</w:t>
            </w:r>
          </w:p>
        </w:tc>
        <w:tc>
          <w:tcPr>
            <w:tcW w:type="dxa" w:w="8280"/>
            <w:vAlign w:val="center"/>
            <w:tcMar>
              <w:top w:w="80" w:type="dxa"/>
              <w:start w:w="100" w:type="dxa"/>
              <w:bottom w:w="80" w:type="dxa"/>
              <w:end w:w="100" w:type="dxa"/>
            </w:tcMar>
            <w:shd w:fill="17365D"/>
          </w:tcPr>
          <w:p>
            <w:pPr>
              <w:spacing w:after="0" w:before="0"/>
            </w:pPr>
            <w:r/>
            <w:r>
              <w:rPr>
                <w:rFonts w:ascii="Aptos" w:hAnsi="Aptos"/>
                <w:b/>
                <w:color w:val="FFFFFF"/>
                <w:sz w:val="15"/>
              </w:rPr>
              <w:t>Contract / example</w:t>
            </w:r>
          </w:p>
        </w:tc>
      </w:tr>
      <w:tr>
        <w:trPr>
          <w:cantSplit/>
        </w:trPr>
        <w:tc>
          <w:tcPr>
            <w:tcW w:type="dxa" w:w="1944"/>
            <w:vAlign w:val="center"/>
            <w:tcMar>
              <w:top w:w="80" w:type="dxa"/>
              <w:start w:w="100" w:type="dxa"/>
              <w:bottom w:w="80" w:type="dxa"/>
              <w:end w:w="100" w:type="dxa"/>
            </w:tcMar>
            <w:shd w:fill="F3F6F9"/>
          </w:tcPr>
          <w:p>
            <w:pPr>
              <w:spacing w:after="0" w:before="0"/>
            </w:pPr>
            <w:r/>
            <w:r>
              <w:rPr>
                <w:rFonts w:ascii="Aptos" w:hAnsi="Aptos"/>
                <w:b w:val="0"/>
                <w:sz w:val="15"/>
              </w:rPr>
              <w:t>Internal API</w:t>
            </w:r>
          </w:p>
        </w:tc>
        <w:tc>
          <w:tcPr>
            <w:tcW w:type="dxa" w:w="8280"/>
            <w:vAlign w:val="center"/>
            <w:tcMar>
              <w:top w:w="80" w:type="dxa"/>
              <w:start w:w="100" w:type="dxa"/>
              <w:bottom w:w="80" w:type="dxa"/>
              <w:end w:w="100" w:type="dxa"/>
            </w:tcMar>
            <w:shd w:fill="F3F6F9"/>
          </w:tcPr>
          <w:p>
            <w:pPr>
              <w:spacing w:after="0" w:before="0"/>
            </w:pPr>
            <w:r/>
            <w:r>
              <w:rPr>
                <w:rFonts w:ascii="Aptos" w:hAnsi="Aptos"/>
                <w:b w:val="0"/>
                <w:sz w:val="15"/>
              </w:rPr>
              <w:t>POST /internal/v1/executions with tool ID, arguments, subject context, tenant ID and pinned configuration versions.</w:t>
            </w:r>
          </w:p>
        </w:tc>
      </w:tr>
      <w:tr>
        <w:trPr>
          <w:cantSplit/>
        </w:trPr>
        <w:tc>
          <w:tcPr>
            <w:tcW w:type="dxa" w:w="1944"/>
            <w:vAlign w:val="center"/>
            <w:tcMar>
              <w:top w:w="80" w:type="dxa"/>
              <w:start w:w="100" w:type="dxa"/>
              <w:bottom w:w="80" w:type="dxa"/>
              <w:end w:w="100" w:type="dxa"/>
            </w:tcMar>
          </w:tcPr>
          <w:p>
            <w:pPr>
              <w:spacing w:after="0" w:before="0"/>
            </w:pPr>
            <w:r/>
            <w:r>
              <w:rPr>
                <w:rFonts w:ascii="Aptos" w:hAnsi="Aptos"/>
                <w:b w:val="0"/>
                <w:sz w:val="15"/>
              </w:rPr>
              <w:t>Internal calls</w:t>
            </w:r>
          </w:p>
        </w:tc>
        <w:tc>
          <w:tcPr>
            <w:tcW w:type="dxa" w:w="8280"/>
            <w:vAlign w:val="center"/>
            <w:tcMar>
              <w:top w:w="80" w:type="dxa"/>
              <w:start w:w="100" w:type="dxa"/>
              <w:bottom w:w="80" w:type="dxa"/>
              <w:end w:w="100" w:type="dxa"/>
            </w:tcMar>
          </w:tcPr>
          <w:p>
            <w:pPr>
              <w:spacing w:after="0" w:before="0"/>
            </w:pPr>
            <w:r/>
            <w:r>
              <w:rPr>
                <w:rFonts w:ascii="Aptos" w:hAnsi="Aptos"/>
                <w:b w:val="0"/>
                <w:sz w:val="15"/>
              </w:rPr>
              <w:t>Connector Runtime, Data Normalization &amp; Privacy, Rule Evaluation, Truth &amp; Confidence.</w:t>
            </w:r>
          </w:p>
        </w:tc>
      </w:tr>
      <w:tr>
        <w:trPr>
          <w:cantSplit/>
        </w:trPr>
        <w:tc>
          <w:tcPr>
            <w:tcW w:type="dxa" w:w="1944"/>
            <w:vAlign w:val="center"/>
            <w:tcMar>
              <w:top w:w="80" w:type="dxa"/>
              <w:start w:w="100" w:type="dxa"/>
              <w:bottom w:w="80" w:type="dxa"/>
              <w:end w:w="100" w:type="dxa"/>
            </w:tcMar>
            <w:shd w:fill="F3F6F9"/>
          </w:tcPr>
          <w:p>
            <w:pPr>
              <w:spacing w:after="0" w:before="0"/>
            </w:pPr>
            <w:r/>
            <w:r>
              <w:rPr>
                <w:rFonts w:ascii="Aptos" w:hAnsi="Aptos"/>
                <w:b w:val="0"/>
                <w:sz w:val="15"/>
              </w:rPr>
              <w:t>Events out</w:t>
            </w:r>
          </w:p>
        </w:tc>
        <w:tc>
          <w:tcPr>
            <w:tcW w:type="dxa" w:w="8280"/>
            <w:vAlign w:val="center"/>
            <w:tcMar>
              <w:top w:w="80" w:type="dxa"/>
              <w:start w:w="100" w:type="dxa"/>
              <w:bottom w:w="80" w:type="dxa"/>
              <w:end w:w="100" w:type="dxa"/>
            </w:tcMar>
            <w:shd w:fill="F3F6F9"/>
          </w:tcPr>
          <w:p>
            <w:pPr>
              <w:spacing w:after="0" w:before="0"/>
            </w:pPr>
            <w:r/>
            <w:r>
              <w:rPr>
                <w:rFonts w:ascii="Aptos" w:hAnsi="Aptos"/>
                <w:b w:val="0"/>
                <w:sz w:val="15"/>
              </w:rPr>
              <w:t>ExecutionStarted, ExecutionCompleted, ExecutionFailed, ExecutionStageFailed</w:t>
            </w:r>
          </w:p>
        </w:tc>
      </w:tr>
    </w:tbl>
    <w:p>
      <w:pPr>
        <w:spacing w:after="20"/>
      </w:pPr>
    </w:p>
    <w:p>
      <w:pPr>
        <w:pStyle w:val="Heading2"/>
        <w:keepNext/>
      </w:pPr>
      <w:r>
        <w:t>Must not own / boundary rules</w:t>
      </w:r>
    </w:p>
    <w:p>
      <w:pPr>
        <w:pStyle w:val="ListBullet"/>
        <w:keepLines/>
        <w:spacing w:after="40"/>
      </w:pPr>
      <w:r>
        <w:t>Does not expose the MCP protocol directly.</w:t>
      </w:r>
    </w:p>
    <w:p>
      <w:pPr>
        <w:pStyle w:val="ListBullet"/>
        <w:keepLines/>
        <w:spacing w:after="40"/>
      </w:pPr>
      <w:r>
        <w:t>Does not contain REST/SQL/GraphQL client implementations or SpEL evaluation internals.</w:t>
      </w:r>
    </w:p>
    <w:p>
      <w:pPr>
        <w:pStyle w:val="ListBullet"/>
        <w:keepLines/>
        <w:spacing w:after="40"/>
      </w:pPr>
      <w:r>
        <w:t>Does not make final allow/deny authorization decisions; it consumes the policy decision.</w:t>
      </w:r>
    </w:p>
    <w:p>
      <w:pPr>
        <w:pStyle w:val="Heading2"/>
        <w:keepNext/>
      </w:pPr>
      <w:r>
        <w:t>Key implementation notes</w:t>
      </w:r>
    </w:p>
    <w:p>
      <w:pPr>
        <w:pStyle w:val="ListBullet"/>
        <w:keepLines/>
        <w:spacing w:after="40"/>
      </w:pPr>
      <w:r>
        <w:t>Set a total execution deadline and smaller per-stage deadlines. Propagate cancellation and correlation IDs.</w:t>
      </w:r>
    </w:p>
    <w:p>
      <w:pPr>
        <w:pStyle w:val="ListBullet"/>
        <w:keepLines/>
        <w:spacing w:after="40"/>
      </w:pPr>
      <w:r>
        <w:t>Synchronous stage calls need bounded retries only for safe/idempotent reads. Do not blindly retry non-idempotent operations.</w:t>
      </w:r>
    </w:p>
    <w:p>
      <w:pPr>
        <w:pStyle w:val="Heading1"/>
        <w:keepNext/>
      </w:pPr>
      <w:r>
        <w:t>09. Connector Runtime Service</w:t>
      </w:r>
    </w:p>
    <w:p>
      <w:pPr>
        <w:keepNext/>
        <w:spacing w:after="140"/>
      </w:pPr>
      <w:r>
        <w:rPr>
          <w:i/>
          <w:color w:val="4B6982"/>
          <w:sz w:val="20"/>
        </w:rPr>
        <w:t>Data Plane | Executes calls to enterprise systems through approved adapters</w:t>
      </w:r>
    </w:p>
    <w:p>
      <w:pPr>
        <w:pStyle w:val="Heading2"/>
        <w:keepNext/>
      </w:pPr>
      <w:r>
        <w:t>Purpose and bounded context</w:t>
      </w:r>
    </w:p>
    <w:p>
      <w:pPr>
        <w:spacing w:after="100"/>
      </w:pPr>
      <w:r>
        <w:t>Owns the runtime implementation of REST, SQL, GraphQL and existing-tool proxy connectors. It translates approved connector configuration into outbound calls and returns source responses with provenance metadata.</w:t>
      </w:r>
    </w:p>
    <w:p>
      <w:pPr>
        <w:pStyle w:val="Heading2"/>
        <w:keepNext/>
      </w:pPr>
      <w:r>
        <w:t>Responsibilities</w:t>
      </w:r>
    </w:p>
    <w:p>
      <w:pPr>
        <w:pStyle w:val="ListBullet"/>
        <w:keepLines/>
        <w:spacing w:after="40"/>
      </w:pPr>
      <w:r>
        <w:t>Execute REST calls with Spring WebClient.</w:t>
      </w:r>
    </w:p>
    <w:p>
      <w:pPr>
        <w:pStyle w:val="ListBullet"/>
        <w:keepLines/>
        <w:spacing w:after="40"/>
      </w:pPr>
      <w:r>
        <w:t>Execute allowlisted read-only SQL/JDBC queries against customer databases.</w:t>
      </w:r>
    </w:p>
    <w:p>
      <w:pPr>
        <w:pStyle w:val="ListBullet"/>
        <w:keepLines/>
        <w:spacing w:after="40"/>
      </w:pPr>
      <w:r>
        <w:t>Execute GraphQL client operations.</w:t>
      </w:r>
    </w:p>
    <w:p>
      <w:pPr>
        <w:pStyle w:val="ListBullet"/>
        <w:keepLines/>
        <w:spacing w:after="40"/>
      </w:pPr>
      <w:r>
        <w:t>Forward requests to approved internal tools in secure-proxy mode.</w:t>
      </w:r>
    </w:p>
    <w:p>
      <w:pPr>
        <w:pStyle w:val="ListBullet"/>
        <w:keepLines/>
        <w:spacing w:after="40"/>
      </w:pPr>
      <w:r>
        <w:t>Retrieve secrets by reference from Vault/KMS and apply delegated identity where supported.</w:t>
      </w:r>
    </w:p>
    <w:p>
      <w:pPr>
        <w:pStyle w:val="ListBullet"/>
        <w:keepLines/>
        <w:spacing w:after="40"/>
      </w:pPr>
      <w:r>
        <w:t>Enforce timeouts, destination allowlists, TLS and resilience controls.</w:t>
      </w:r>
    </w:p>
    <w:p>
      <w:pPr>
        <w:pStyle w:val="Heading2"/>
        <w:keepNext/>
      </w:pPr>
      <w:r>
        <w:t>Recommended design patterns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232"/>
            <w:vAlign w:val="center"/>
            <w:tcMar>
              <w:top w:w="80" w:type="dxa"/>
              <w:start w:w="100" w:type="dxa"/>
              <w:bottom w:w="80" w:type="dxa"/>
              <w:end w:w="100" w:type="dxa"/>
            </w:tcMar>
            <w:shd w:fill="17365D"/>
          </w:tcPr>
          <w:p>
            <w:pPr>
              <w:spacing w:after="0" w:before="0"/>
            </w:pPr>
            <w:r/>
            <w:r>
              <w:rPr>
                <w:rFonts w:ascii="Aptos" w:hAnsi="Aptos"/>
                <w:b/>
                <w:color w:val="FFFFFF"/>
                <w:sz w:val="15"/>
              </w:rPr>
              <w:t>Pattern</w:t>
            </w:r>
          </w:p>
        </w:tc>
        <w:tc>
          <w:tcPr>
            <w:tcW w:type="dxa" w:w="7992"/>
            <w:vAlign w:val="center"/>
            <w:tcMar>
              <w:top w:w="80" w:type="dxa"/>
              <w:start w:w="100" w:type="dxa"/>
              <w:bottom w:w="80" w:type="dxa"/>
              <w:end w:w="100" w:type="dxa"/>
            </w:tcMar>
            <w:shd w:fill="17365D"/>
          </w:tcPr>
          <w:p>
            <w:pPr>
              <w:spacing w:after="0" w:before="0"/>
            </w:pPr>
            <w:r/>
            <w:r>
              <w:rPr>
                <w:rFonts w:ascii="Aptos" w:hAnsi="Aptos"/>
                <w:b/>
                <w:color w:val="FFFFFF"/>
                <w:sz w:val="15"/>
              </w:rPr>
              <w:t>How to apply it here</w:t>
            </w:r>
          </w:p>
        </w:tc>
      </w:tr>
      <w:tr>
        <w:trPr>
          <w:cantSplit/>
        </w:trPr>
        <w:tc>
          <w:tcPr>
            <w:tcW w:type="dxa" w:w="2232"/>
            <w:vAlign w:val="center"/>
            <w:tcMar>
              <w:top w:w="80" w:type="dxa"/>
              <w:start w:w="100" w:type="dxa"/>
              <w:bottom w:w="80" w:type="dxa"/>
              <w:end w:w="100" w:type="dxa"/>
            </w:tcMar>
            <w:shd w:fill="F3F6F9"/>
          </w:tcPr>
          <w:p>
            <w:pPr>
              <w:spacing w:after="0" w:before="0"/>
            </w:pPr>
            <w:r/>
            <w:r>
              <w:rPr>
                <w:rFonts w:ascii="Aptos" w:hAnsi="Aptos"/>
                <w:b w:val="0"/>
                <w:sz w:val="15"/>
              </w:rPr>
              <w:t>Ports and Adapters</w:t>
            </w:r>
          </w:p>
        </w:tc>
        <w:tc>
          <w:tcPr>
            <w:tcW w:type="dxa" w:w="7992"/>
            <w:vAlign w:val="center"/>
            <w:tcMar>
              <w:top w:w="80" w:type="dxa"/>
              <w:start w:w="100" w:type="dxa"/>
              <w:bottom w:w="80" w:type="dxa"/>
              <w:end w:w="100" w:type="dxa"/>
            </w:tcMar>
            <w:shd w:fill="F3F6F9"/>
          </w:tcPr>
          <w:p>
            <w:pPr>
              <w:spacing w:after="0" w:before="0"/>
            </w:pPr>
            <w:r/>
            <w:r>
              <w:rPr>
                <w:rFonts w:ascii="Aptos" w:hAnsi="Aptos"/>
                <w:b w:val="0"/>
                <w:sz w:val="15"/>
              </w:rPr>
              <w:t>Define a ConnectorPort and isolate protocol-specific drivers behind adapters.</w:t>
            </w:r>
          </w:p>
        </w:tc>
      </w:tr>
      <w:tr>
        <w:trPr>
          <w:cantSplit/>
        </w:trPr>
        <w:tc>
          <w:tcPr>
            <w:tcW w:type="dxa" w:w="2232"/>
            <w:vAlign w:val="center"/>
            <w:tcMar>
              <w:top w:w="80" w:type="dxa"/>
              <w:start w:w="100" w:type="dxa"/>
              <w:bottom w:w="80" w:type="dxa"/>
              <w:end w:w="100" w:type="dxa"/>
            </w:tcMar>
          </w:tcPr>
          <w:p>
            <w:pPr>
              <w:spacing w:after="0" w:before="0"/>
            </w:pPr>
            <w:r/>
            <w:r>
              <w:rPr>
                <w:rFonts w:ascii="Aptos" w:hAnsi="Aptos"/>
                <w:b w:val="0"/>
                <w:sz w:val="15"/>
              </w:rPr>
              <w:t>Strategy</w:t>
            </w:r>
          </w:p>
        </w:tc>
        <w:tc>
          <w:tcPr>
            <w:tcW w:type="dxa" w:w="7992"/>
            <w:vAlign w:val="center"/>
            <w:tcMar>
              <w:top w:w="80" w:type="dxa"/>
              <w:start w:w="100" w:type="dxa"/>
              <w:bottom w:w="80" w:type="dxa"/>
              <w:end w:w="100" w:type="dxa"/>
            </w:tcMar>
          </w:tcPr>
          <w:p>
            <w:pPr>
              <w:spacing w:after="0" w:before="0"/>
            </w:pPr>
            <w:r/>
            <w:r>
              <w:rPr>
                <w:rFonts w:ascii="Aptos" w:hAnsi="Aptos"/>
                <w:b w:val="0"/>
                <w:sz w:val="15"/>
              </w:rPr>
              <w:t>Select REST, SQL, GraphQL or proxy execution strategy from the validated connector type.</w:t>
            </w:r>
          </w:p>
        </w:tc>
      </w:tr>
      <w:tr>
        <w:trPr>
          <w:cantSplit/>
        </w:trPr>
        <w:tc>
          <w:tcPr>
            <w:tcW w:type="dxa" w:w="2232"/>
            <w:vAlign w:val="center"/>
            <w:tcMar>
              <w:top w:w="80" w:type="dxa"/>
              <w:start w:w="100" w:type="dxa"/>
              <w:bottom w:w="80" w:type="dxa"/>
              <w:end w:w="100" w:type="dxa"/>
            </w:tcMar>
            <w:shd w:fill="F3F6F9"/>
          </w:tcPr>
          <w:p>
            <w:pPr>
              <w:spacing w:after="0" w:before="0"/>
            </w:pPr>
            <w:r/>
            <w:r>
              <w:rPr>
                <w:rFonts w:ascii="Aptos" w:hAnsi="Aptos"/>
                <w:b w:val="0"/>
                <w:sz w:val="15"/>
              </w:rPr>
              <w:t>Adapter</w:t>
            </w:r>
          </w:p>
        </w:tc>
        <w:tc>
          <w:tcPr>
            <w:tcW w:type="dxa" w:w="7992"/>
            <w:vAlign w:val="center"/>
            <w:tcMar>
              <w:top w:w="80" w:type="dxa"/>
              <w:start w:w="100" w:type="dxa"/>
              <w:bottom w:w="80" w:type="dxa"/>
              <w:end w:w="100" w:type="dxa"/>
            </w:tcMar>
            <w:shd w:fill="F3F6F9"/>
          </w:tcPr>
          <w:p>
            <w:pPr>
              <w:spacing w:after="0" w:before="0"/>
            </w:pPr>
            <w:r/>
            <w:r>
              <w:rPr>
                <w:rFonts w:ascii="Aptos" w:hAnsi="Aptos"/>
                <w:b w:val="0"/>
                <w:sz w:val="15"/>
              </w:rPr>
              <w:t>Normalize low-level client-library behavior into a common ConnectorResponse contract.</w:t>
            </w:r>
          </w:p>
        </w:tc>
      </w:tr>
      <w:tr>
        <w:trPr>
          <w:cantSplit/>
        </w:trPr>
        <w:tc>
          <w:tcPr>
            <w:tcW w:type="dxa" w:w="2232"/>
            <w:vAlign w:val="center"/>
            <w:tcMar>
              <w:top w:w="80" w:type="dxa"/>
              <w:start w:w="100" w:type="dxa"/>
              <w:bottom w:w="80" w:type="dxa"/>
              <w:end w:w="100" w:type="dxa"/>
            </w:tcMar>
          </w:tcPr>
          <w:p>
            <w:pPr>
              <w:spacing w:after="0" w:before="0"/>
            </w:pPr>
            <w:r/>
            <w:r>
              <w:rPr>
                <w:rFonts w:ascii="Aptos" w:hAnsi="Aptos"/>
                <w:b w:val="0"/>
                <w:sz w:val="15"/>
              </w:rPr>
              <w:t>Circuit Breaker + Bulkhead + Retry</w:t>
            </w:r>
          </w:p>
        </w:tc>
        <w:tc>
          <w:tcPr>
            <w:tcW w:type="dxa" w:w="7992"/>
            <w:vAlign w:val="center"/>
            <w:tcMar>
              <w:top w:w="80" w:type="dxa"/>
              <w:start w:w="100" w:type="dxa"/>
              <w:bottom w:w="80" w:type="dxa"/>
              <w:end w:w="100" w:type="dxa"/>
            </w:tcMar>
          </w:tcPr>
          <w:p>
            <w:pPr>
              <w:spacing w:after="0" w:before="0"/>
            </w:pPr>
            <w:r/>
            <w:r>
              <w:rPr>
                <w:rFonts w:ascii="Aptos" w:hAnsi="Aptos"/>
                <w:b w:val="0"/>
                <w:sz w:val="15"/>
              </w:rPr>
              <w:t>Use Resilience4j to isolate failing systems, bound concurrency and retry safe transient failures.</w:t>
            </w:r>
          </w:p>
        </w:tc>
      </w:tr>
      <w:tr>
        <w:trPr>
          <w:cantSplit/>
        </w:trPr>
        <w:tc>
          <w:tcPr>
            <w:tcW w:type="dxa" w:w="2232"/>
            <w:vAlign w:val="center"/>
            <w:tcMar>
              <w:top w:w="80" w:type="dxa"/>
              <w:start w:w="100" w:type="dxa"/>
              <w:bottom w:w="80" w:type="dxa"/>
              <w:end w:w="100" w:type="dxa"/>
            </w:tcMar>
            <w:shd w:fill="F3F6F9"/>
          </w:tcPr>
          <w:p>
            <w:pPr>
              <w:spacing w:after="0" w:before="0"/>
            </w:pPr>
            <w:r/>
            <w:r>
              <w:rPr>
                <w:rFonts w:ascii="Aptos" w:hAnsi="Aptos"/>
                <w:b w:val="0"/>
                <w:sz w:val="15"/>
              </w:rPr>
              <w:t>Factory</w:t>
            </w:r>
          </w:p>
        </w:tc>
        <w:tc>
          <w:tcPr>
            <w:tcW w:type="dxa" w:w="7992"/>
            <w:vAlign w:val="center"/>
            <w:tcMar>
              <w:top w:w="80" w:type="dxa"/>
              <w:start w:w="100" w:type="dxa"/>
              <w:bottom w:w="80" w:type="dxa"/>
              <w:end w:w="100" w:type="dxa"/>
            </w:tcMar>
            <w:shd w:fill="F3F6F9"/>
          </w:tcPr>
          <w:p>
            <w:pPr>
              <w:spacing w:after="0" w:before="0"/>
            </w:pPr>
            <w:r/>
            <w:r>
              <w:rPr>
                <w:rFonts w:ascii="Aptos" w:hAnsi="Aptos"/>
                <w:b w:val="0"/>
                <w:sz w:val="15"/>
              </w:rPr>
              <w:t>Resolve the correct adapter from a validated ConnectorDescriptor; reject unknown connector types.</w:t>
            </w:r>
          </w:p>
        </w:tc>
      </w:tr>
    </w:tbl>
    <w:p>
      <w:pPr>
        <w:spacing w:after="20"/>
      </w:pPr>
    </w:p>
    <w:p>
      <w:pPr>
        <w:pStyle w:val="Heading2"/>
        <w:keepNext/>
      </w:pPr>
      <w:r>
        <w:t>Data ownership</w:t>
      </w:r>
    </w:p>
    <w:p>
      <w:pPr>
        <w:spacing w:after="100"/>
      </w:pPr>
      <w:r>
        <w:t>No durable customer-data database. Keep response payloads in memory for the request lifecycle. Configuration is obtained from Connector Management via a cached, versioned descriptor. Secrets are fetched from Vault/KMS by reference.</w:t>
      </w:r>
    </w:p>
    <w:p>
      <w:pPr>
        <w:pStyle w:val="Heading2"/>
        <w:keepNext/>
      </w:pPr>
      <w:r>
        <w:t>Representative interface</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1944"/>
            <w:vAlign w:val="center"/>
            <w:tcMar>
              <w:top w:w="80" w:type="dxa"/>
              <w:start w:w="100" w:type="dxa"/>
              <w:bottom w:w="80" w:type="dxa"/>
              <w:end w:w="100" w:type="dxa"/>
            </w:tcMar>
            <w:shd w:fill="17365D"/>
          </w:tcPr>
          <w:p>
            <w:pPr>
              <w:spacing w:after="0" w:before="0"/>
            </w:pPr>
            <w:r/>
            <w:r>
              <w:rPr>
                <w:rFonts w:ascii="Aptos" w:hAnsi="Aptos"/>
                <w:b/>
                <w:color w:val="FFFFFF"/>
                <w:sz w:val="15"/>
              </w:rPr>
              <w:t>Type</w:t>
            </w:r>
          </w:p>
        </w:tc>
        <w:tc>
          <w:tcPr>
            <w:tcW w:type="dxa" w:w="8280"/>
            <w:vAlign w:val="center"/>
            <w:tcMar>
              <w:top w:w="80" w:type="dxa"/>
              <w:start w:w="100" w:type="dxa"/>
              <w:bottom w:w="80" w:type="dxa"/>
              <w:end w:w="100" w:type="dxa"/>
            </w:tcMar>
            <w:shd w:fill="17365D"/>
          </w:tcPr>
          <w:p>
            <w:pPr>
              <w:spacing w:after="0" w:before="0"/>
            </w:pPr>
            <w:r/>
            <w:r>
              <w:rPr>
                <w:rFonts w:ascii="Aptos" w:hAnsi="Aptos"/>
                <w:b/>
                <w:color w:val="FFFFFF"/>
                <w:sz w:val="15"/>
              </w:rPr>
              <w:t>Contract / example</w:t>
            </w:r>
          </w:p>
        </w:tc>
      </w:tr>
      <w:tr>
        <w:trPr>
          <w:cantSplit/>
        </w:trPr>
        <w:tc>
          <w:tcPr>
            <w:tcW w:type="dxa" w:w="1944"/>
            <w:vAlign w:val="center"/>
            <w:tcMar>
              <w:top w:w="80" w:type="dxa"/>
              <w:start w:w="100" w:type="dxa"/>
              <w:bottom w:w="80" w:type="dxa"/>
              <w:end w:w="100" w:type="dxa"/>
            </w:tcMar>
            <w:shd w:fill="F3F6F9"/>
          </w:tcPr>
          <w:p>
            <w:pPr>
              <w:spacing w:after="0" w:before="0"/>
            </w:pPr>
            <w:r/>
            <w:r>
              <w:rPr>
                <w:rFonts w:ascii="Aptos" w:hAnsi="Aptos"/>
                <w:b w:val="0"/>
                <w:sz w:val="15"/>
              </w:rPr>
              <w:t>Internal API</w:t>
            </w:r>
          </w:p>
        </w:tc>
        <w:tc>
          <w:tcPr>
            <w:tcW w:type="dxa" w:w="8280"/>
            <w:vAlign w:val="center"/>
            <w:tcMar>
              <w:top w:w="80" w:type="dxa"/>
              <w:start w:w="100" w:type="dxa"/>
              <w:bottom w:w="80" w:type="dxa"/>
              <w:end w:w="100" w:type="dxa"/>
            </w:tcMar>
            <w:shd w:fill="F3F6F9"/>
          </w:tcPr>
          <w:p>
            <w:pPr>
              <w:spacing w:after="0" w:before="0"/>
            </w:pPr>
            <w:r/>
            <w:r>
              <w:rPr>
                <w:rFonts w:ascii="Aptos" w:hAnsi="Aptos"/>
                <w:b w:val="0"/>
                <w:sz w:val="15"/>
              </w:rPr>
              <w:t>POST /internal/v1/connectors/{connectorId}/execute; request includes tenant, operation, sanitized parameters, deadline and delegated identity context.</w:t>
            </w:r>
          </w:p>
        </w:tc>
      </w:tr>
      <w:tr>
        <w:trPr>
          <w:cantSplit/>
        </w:trPr>
        <w:tc>
          <w:tcPr>
            <w:tcW w:type="dxa" w:w="1944"/>
            <w:vAlign w:val="center"/>
            <w:tcMar>
              <w:top w:w="80" w:type="dxa"/>
              <w:start w:w="100" w:type="dxa"/>
              <w:bottom w:w="80" w:type="dxa"/>
              <w:end w:w="100" w:type="dxa"/>
            </w:tcMar>
          </w:tcPr>
          <w:p>
            <w:pPr>
              <w:spacing w:after="0" w:before="0"/>
            </w:pPr>
            <w:r/>
            <w:r>
              <w:rPr>
                <w:rFonts w:ascii="Aptos" w:hAnsi="Aptos"/>
                <w:b w:val="0"/>
                <w:sz w:val="15"/>
              </w:rPr>
              <w:t>Response</w:t>
            </w:r>
          </w:p>
        </w:tc>
        <w:tc>
          <w:tcPr>
            <w:tcW w:type="dxa" w:w="8280"/>
            <w:vAlign w:val="center"/>
            <w:tcMar>
              <w:top w:w="80" w:type="dxa"/>
              <w:start w:w="100" w:type="dxa"/>
              <w:bottom w:w="80" w:type="dxa"/>
              <w:end w:w="100" w:type="dxa"/>
            </w:tcMar>
          </w:tcPr>
          <w:p>
            <w:pPr>
              <w:spacing w:after="0" w:before="0"/>
            </w:pPr>
            <w:r/>
            <w:r>
              <w:rPr>
                <w:rFonts w:ascii="Aptos" w:hAnsi="Aptos"/>
                <w:b w:val="0"/>
                <w:sz w:val="15"/>
              </w:rPr>
              <w:t>Source payload + source system + retrieval timestamp + connector version + source status; sensitive payload is passed downstream only in memory.</w:t>
            </w:r>
          </w:p>
        </w:tc>
      </w:tr>
      <w:tr>
        <w:trPr>
          <w:cantSplit/>
        </w:trPr>
        <w:tc>
          <w:tcPr>
            <w:tcW w:type="dxa" w:w="1944"/>
            <w:vAlign w:val="center"/>
            <w:tcMar>
              <w:top w:w="80" w:type="dxa"/>
              <w:start w:w="100" w:type="dxa"/>
              <w:bottom w:w="80" w:type="dxa"/>
              <w:end w:w="100" w:type="dxa"/>
            </w:tcMar>
            <w:shd w:fill="F3F6F9"/>
          </w:tcPr>
          <w:p>
            <w:pPr>
              <w:spacing w:after="0" w:before="0"/>
            </w:pPr>
            <w:r/>
            <w:r>
              <w:rPr>
                <w:rFonts w:ascii="Aptos" w:hAnsi="Aptos"/>
                <w:b w:val="0"/>
                <w:sz w:val="15"/>
              </w:rPr>
              <w:t>Events out</w:t>
            </w:r>
          </w:p>
        </w:tc>
        <w:tc>
          <w:tcPr>
            <w:tcW w:type="dxa" w:w="8280"/>
            <w:vAlign w:val="center"/>
            <w:tcMar>
              <w:top w:w="80" w:type="dxa"/>
              <w:start w:w="100" w:type="dxa"/>
              <w:bottom w:w="80" w:type="dxa"/>
              <w:end w:w="100" w:type="dxa"/>
            </w:tcMar>
            <w:shd w:fill="F3F6F9"/>
          </w:tcPr>
          <w:p>
            <w:pPr>
              <w:spacing w:after="0" w:before="0"/>
            </w:pPr>
            <w:r/>
            <w:r>
              <w:rPr>
                <w:rFonts w:ascii="Aptos" w:hAnsi="Aptos"/>
                <w:b w:val="0"/>
                <w:sz w:val="15"/>
              </w:rPr>
              <w:t>ConnectorCallSucceeded, ConnectorCallFailed, ConnectorLatencyObserved (sample or aggregate; do not publish raw payloads).</w:t>
            </w:r>
          </w:p>
        </w:tc>
      </w:tr>
    </w:tbl>
    <w:p>
      <w:pPr>
        <w:spacing w:after="20"/>
      </w:pPr>
    </w:p>
    <w:p>
      <w:pPr>
        <w:pStyle w:val="Heading2"/>
        <w:keepNext/>
      </w:pPr>
      <w:r>
        <w:t>Must not own / boundary rules</w:t>
      </w:r>
    </w:p>
    <w:p>
      <w:pPr>
        <w:pStyle w:val="ListBullet"/>
        <w:keepLines/>
        <w:spacing w:after="40"/>
      </w:pPr>
      <w:r>
        <w:t>Does not define business rules, tool metadata or blueprints.</w:t>
      </w:r>
    </w:p>
    <w:p>
      <w:pPr>
        <w:pStyle w:val="ListBullet"/>
        <w:keepLines/>
        <w:spacing w:after="40"/>
      </w:pPr>
      <w:r>
        <w:t>Does not persist source data or raw response bodies.</w:t>
      </w:r>
    </w:p>
    <w:p>
      <w:pPr>
        <w:pStyle w:val="ListBullet"/>
        <w:keepLines/>
        <w:spacing w:after="40"/>
      </w:pPr>
      <w:r>
        <w:t>Does not allow arbitrary URL targets, arbitrary SQL strings or unrestricted proxy destinations from an AI tool call.</w:t>
      </w:r>
    </w:p>
    <w:p>
      <w:pPr>
        <w:pStyle w:val="Heading2"/>
        <w:keepNext/>
      </w:pPr>
      <w:r>
        <w:t>Key implementation notes</w:t>
      </w:r>
    </w:p>
    <w:p>
      <w:pPr>
        <w:pStyle w:val="ListBullet"/>
        <w:keepLines/>
        <w:spacing w:after="40"/>
      </w:pPr>
      <w:r>
        <w:t>Keep read-only SQL credentials and enforce read-only transactions plus query allowlists.</w:t>
      </w:r>
    </w:p>
    <w:p>
      <w:pPr>
        <w:pStyle w:val="ListBullet"/>
        <w:keepLines/>
        <w:spacing w:after="40"/>
      </w:pPr>
      <w:r>
        <w:t>Propagate end-user identity to downstream APIs where the downstream system supports delegated authorization. If service credentials are unavoidable, scope them to the smallest allowed resource/action and audit their use.</w:t>
      </w:r>
    </w:p>
    <w:p>
      <w:pPr>
        <w:pStyle w:val="Heading1"/>
        <w:keepNext/>
      </w:pPr>
      <w:r>
        <w:t>10. Data Normalization &amp; Privacy Service</w:t>
      </w:r>
    </w:p>
    <w:p>
      <w:pPr>
        <w:keepNext/>
        <w:spacing w:after="140"/>
      </w:pPr>
      <w:r>
        <w:rPr>
          <w:i/>
          <w:color w:val="4B6982"/>
          <w:sz w:val="20"/>
        </w:rPr>
        <w:t>Data Plane | Converts source-specific results into safe canonical data</w:t>
      </w:r>
    </w:p>
    <w:p>
      <w:pPr>
        <w:pStyle w:val="Heading2"/>
        <w:keepNext/>
      </w:pPr>
      <w:r>
        <w:t>Purpose and bounded context</w:t>
      </w:r>
    </w:p>
    <w:p>
      <w:pPr>
        <w:spacing w:after="100"/>
      </w:pPr>
      <w:r>
        <w:t>Owns source-response normalization, schema mapping, validation and privacy filtering. It converts heterogeneous customer data into a constrained canonical payload suitable for deterministic evaluation and evidence generation.</w:t>
      </w:r>
    </w:p>
    <w:p>
      <w:pPr>
        <w:pStyle w:val="Heading2"/>
        <w:keepNext/>
      </w:pPr>
      <w:r>
        <w:t>Responsibilities</w:t>
      </w:r>
    </w:p>
    <w:p>
      <w:pPr>
        <w:pStyle w:val="ListBullet"/>
        <w:keepLines/>
        <w:spacing w:after="40"/>
      </w:pPr>
      <w:r>
        <w:t>Flatten/map source JSON into canonical fields using approved blueprint mappings.</w:t>
      </w:r>
    </w:p>
    <w:p>
      <w:pPr>
        <w:pStyle w:val="ListBullet"/>
        <w:keepLines/>
        <w:spacing w:after="40"/>
      </w:pPr>
      <w:r>
        <w:t>Validate required values and types; distinguish missing, null, invalid and empty values.</w:t>
      </w:r>
    </w:p>
    <w:p>
      <w:pPr>
        <w:pStyle w:val="ListBullet"/>
        <w:keepLines/>
        <w:spacing w:after="40"/>
      </w:pPr>
      <w:r>
        <w:t>Apply PII masking and PCI/PAN exclusion rules.</w:t>
      </w:r>
    </w:p>
    <w:p>
      <w:pPr>
        <w:pStyle w:val="ListBullet"/>
        <w:keepLines/>
        <w:spacing w:after="40"/>
      </w:pPr>
      <w:r>
        <w:t>Attach provenance metadata such as source, retrieval time and connector version.</w:t>
      </w:r>
    </w:p>
    <w:p>
      <w:pPr>
        <w:pStyle w:val="ListBullet"/>
        <w:keepLines/>
        <w:spacing w:after="40"/>
      </w:pPr>
      <w:r>
        <w:t>Return a normalized payload plus warnings and a data-quality status.</w:t>
      </w:r>
    </w:p>
    <w:p>
      <w:pPr>
        <w:pStyle w:val="Heading2"/>
        <w:keepNext/>
      </w:pPr>
      <w:r>
        <w:t>Recommended design patterns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232"/>
            <w:vAlign w:val="center"/>
            <w:tcMar>
              <w:top w:w="80" w:type="dxa"/>
              <w:start w:w="100" w:type="dxa"/>
              <w:bottom w:w="80" w:type="dxa"/>
              <w:end w:w="100" w:type="dxa"/>
            </w:tcMar>
            <w:shd w:fill="17365D"/>
          </w:tcPr>
          <w:p>
            <w:pPr>
              <w:spacing w:after="0" w:before="0"/>
            </w:pPr>
            <w:r/>
            <w:r>
              <w:rPr>
                <w:rFonts w:ascii="Aptos" w:hAnsi="Aptos"/>
                <w:b/>
                <w:color w:val="FFFFFF"/>
                <w:sz w:val="15"/>
              </w:rPr>
              <w:t>Pattern</w:t>
            </w:r>
          </w:p>
        </w:tc>
        <w:tc>
          <w:tcPr>
            <w:tcW w:type="dxa" w:w="7992"/>
            <w:vAlign w:val="center"/>
            <w:tcMar>
              <w:top w:w="80" w:type="dxa"/>
              <w:start w:w="100" w:type="dxa"/>
              <w:bottom w:w="80" w:type="dxa"/>
              <w:end w:w="100" w:type="dxa"/>
            </w:tcMar>
            <w:shd w:fill="17365D"/>
          </w:tcPr>
          <w:p>
            <w:pPr>
              <w:spacing w:after="0" w:before="0"/>
            </w:pPr>
            <w:r/>
            <w:r>
              <w:rPr>
                <w:rFonts w:ascii="Aptos" w:hAnsi="Aptos"/>
                <w:b/>
                <w:color w:val="FFFFFF"/>
                <w:sz w:val="15"/>
              </w:rPr>
              <w:t>How to apply it here</w:t>
            </w:r>
          </w:p>
        </w:tc>
      </w:tr>
      <w:tr>
        <w:trPr>
          <w:cantSplit/>
        </w:trPr>
        <w:tc>
          <w:tcPr>
            <w:tcW w:type="dxa" w:w="2232"/>
            <w:vAlign w:val="center"/>
            <w:tcMar>
              <w:top w:w="80" w:type="dxa"/>
              <w:start w:w="100" w:type="dxa"/>
              <w:bottom w:w="80" w:type="dxa"/>
              <w:end w:w="100" w:type="dxa"/>
            </w:tcMar>
            <w:shd w:fill="F3F6F9"/>
          </w:tcPr>
          <w:p>
            <w:pPr>
              <w:spacing w:after="0" w:before="0"/>
            </w:pPr>
            <w:r/>
            <w:r>
              <w:rPr>
                <w:rFonts w:ascii="Aptos" w:hAnsi="Aptos"/>
                <w:b w:val="0"/>
                <w:sz w:val="15"/>
              </w:rPr>
              <w:t>Pipeline</w:t>
            </w:r>
          </w:p>
        </w:tc>
        <w:tc>
          <w:tcPr>
            <w:tcW w:type="dxa" w:w="7992"/>
            <w:vAlign w:val="center"/>
            <w:tcMar>
              <w:top w:w="80" w:type="dxa"/>
              <w:start w:w="100" w:type="dxa"/>
              <w:bottom w:w="80" w:type="dxa"/>
              <w:end w:w="100" w:type="dxa"/>
            </w:tcMar>
            <w:shd w:fill="F3F6F9"/>
          </w:tcPr>
          <w:p>
            <w:pPr>
              <w:spacing w:after="0" w:before="0"/>
            </w:pPr>
            <w:r/>
            <w:r>
              <w:rPr>
                <w:rFonts w:ascii="Aptos" w:hAnsi="Aptos"/>
                <w:b w:val="0"/>
                <w:sz w:val="15"/>
              </w:rPr>
              <w:t>Run mapping, type conversion, validation, classification and masking as ordered transformation steps.</w:t>
            </w:r>
          </w:p>
        </w:tc>
      </w:tr>
      <w:tr>
        <w:trPr>
          <w:cantSplit/>
        </w:trPr>
        <w:tc>
          <w:tcPr>
            <w:tcW w:type="dxa" w:w="2232"/>
            <w:vAlign w:val="center"/>
            <w:tcMar>
              <w:top w:w="80" w:type="dxa"/>
              <w:start w:w="100" w:type="dxa"/>
              <w:bottom w:w="80" w:type="dxa"/>
              <w:end w:w="100" w:type="dxa"/>
            </w:tcMar>
          </w:tcPr>
          <w:p>
            <w:pPr>
              <w:spacing w:after="0" w:before="0"/>
            </w:pPr>
            <w:r/>
            <w:r>
              <w:rPr>
                <w:rFonts w:ascii="Aptos" w:hAnsi="Aptos"/>
                <w:b w:val="0"/>
                <w:sz w:val="15"/>
              </w:rPr>
              <w:t>Chain of Responsibility</w:t>
            </w:r>
          </w:p>
        </w:tc>
        <w:tc>
          <w:tcPr>
            <w:tcW w:type="dxa" w:w="7992"/>
            <w:vAlign w:val="center"/>
            <w:tcMar>
              <w:top w:w="80" w:type="dxa"/>
              <w:start w:w="100" w:type="dxa"/>
              <w:bottom w:w="80" w:type="dxa"/>
              <w:end w:w="100" w:type="dxa"/>
            </w:tcMar>
          </w:tcPr>
          <w:p>
            <w:pPr>
              <w:spacing w:after="0" w:before="0"/>
            </w:pPr>
            <w:r/>
            <w:r>
              <w:rPr>
                <w:rFonts w:ascii="Aptos" w:hAnsi="Aptos"/>
                <w:b w:val="0"/>
                <w:sz w:val="15"/>
              </w:rPr>
              <w:t>Allow independent processors (field mapper, validator, PII masker, PCI filter) to process or reject the payload.</w:t>
            </w:r>
          </w:p>
        </w:tc>
      </w:tr>
      <w:tr>
        <w:trPr>
          <w:cantSplit/>
        </w:trPr>
        <w:tc>
          <w:tcPr>
            <w:tcW w:type="dxa" w:w="2232"/>
            <w:vAlign w:val="center"/>
            <w:tcMar>
              <w:top w:w="80" w:type="dxa"/>
              <w:start w:w="100" w:type="dxa"/>
              <w:bottom w:w="80" w:type="dxa"/>
              <w:end w:w="100" w:type="dxa"/>
            </w:tcMar>
            <w:shd w:fill="F3F6F9"/>
          </w:tcPr>
          <w:p>
            <w:pPr>
              <w:spacing w:after="0" w:before="0"/>
            </w:pPr>
            <w:r/>
            <w:r>
              <w:rPr>
                <w:rFonts w:ascii="Aptos" w:hAnsi="Aptos"/>
                <w:b w:val="0"/>
                <w:sz w:val="15"/>
              </w:rPr>
              <w:t>Strategy</w:t>
            </w:r>
          </w:p>
        </w:tc>
        <w:tc>
          <w:tcPr>
            <w:tcW w:type="dxa" w:w="7992"/>
            <w:vAlign w:val="center"/>
            <w:tcMar>
              <w:top w:w="80" w:type="dxa"/>
              <w:start w:w="100" w:type="dxa"/>
              <w:bottom w:w="80" w:type="dxa"/>
              <w:end w:w="100" w:type="dxa"/>
            </w:tcMar>
            <w:shd w:fill="F3F6F9"/>
          </w:tcPr>
          <w:p>
            <w:pPr>
              <w:spacing w:after="0" w:before="0"/>
            </w:pPr>
            <w:r/>
            <w:r>
              <w:rPr>
                <w:rFonts w:ascii="Aptos" w:hAnsi="Aptos"/>
                <w:b w:val="0"/>
                <w:sz w:val="15"/>
              </w:rPr>
              <w:t>Choose source-specific mapping strategies without embedding source-specific rules in the orchestrator.</w:t>
            </w:r>
          </w:p>
        </w:tc>
      </w:tr>
      <w:tr>
        <w:trPr>
          <w:cantSplit/>
        </w:trPr>
        <w:tc>
          <w:tcPr>
            <w:tcW w:type="dxa" w:w="2232"/>
            <w:vAlign w:val="center"/>
            <w:tcMar>
              <w:top w:w="80" w:type="dxa"/>
              <w:start w:w="100" w:type="dxa"/>
              <w:bottom w:w="80" w:type="dxa"/>
              <w:end w:w="100" w:type="dxa"/>
            </w:tcMar>
          </w:tcPr>
          <w:p>
            <w:pPr>
              <w:spacing w:after="0" w:before="0"/>
            </w:pPr>
            <w:r/>
            <w:r>
              <w:rPr>
                <w:rFonts w:ascii="Aptos" w:hAnsi="Aptos"/>
                <w:b w:val="0"/>
                <w:sz w:val="15"/>
              </w:rPr>
              <w:t>Data Mapper</w:t>
            </w:r>
          </w:p>
        </w:tc>
        <w:tc>
          <w:tcPr>
            <w:tcW w:type="dxa" w:w="7992"/>
            <w:vAlign w:val="center"/>
            <w:tcMar>
              <w:top w:w="80" w:type="dxa"/>
              <w:start w:w="100" w:type="dxa"/>
              <w:bottom w:w="80" w:type="dxa"/>
              <w:end w:w="100" w:type="dxa"/>
            </w:tcMar>
          </w:tcPr>
          <w:p>
            <w:pPr>
              <w:spacing w:after="0" w:before="0"/>
            </w:pPr>
            <w:r/>
            <w:r>
              <w:rPr>
                <w:rFonts w:ascii="Aptos" w:hAnsi="Aptos"/>
                <w:b w:val="0"/>
                <w:sz w:val="15"/>
              </w:rPr>
              <w:t>Map external schemas into a canonical internal representation while retaining provenance.</w:t>
            </w:r>
          </w:p>
        </w:tc>
      </w:tr>
    </w:tbl>
    <w:p>
      <w:pPr>
        <w:spacing w:after="20"/>
      </w:pPr>
    </w:p>
    <w:p>
      <w:pPr>
        <w:pStyle w:val="Heading2"/>
        <w:keepNext/>
      </w:pPr>
      <w:r>
        <w:t>Data ownership</w:t>
      </w:r>
    </w:p>
    <w:p>
      <w:pPr>
        <w:spacing w:after="100"/>
      </w:pPr>
      <w:r>
        <w:t>Stateless processing by default; no business database. Store approved mapping definitions in the versioned blueprint/configuration supplied to the request. Do not persist raw or normalized customer payloads.</w:t>
      </w:r>
    </w:p>
    <w:p>
      <w:pPr>
        <w:pStyle w:val="Heading2"/>
        <w:keepNext/>
      </w:pPr>
      <w:r>
        <w:t>Representative interface</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1944"/>
            <w:vAlign w:val="center"/>
            <w:tcMar>
              <w:top w:w="80" w:type="dxa"/>
              <w:start w:w="100" w:type="dxa"/>
              <w:bottom w:w="80" w:type="dxa"/>
              <w:end w:w="100" w:type="dxa"/>
            </w:tcMar>
            <w:shd w:fill="17365D"/>
          </w:tcPr>
          <w:p>
            <w:pPr>
              <w:spacing w:after="0" w:before="0"/>
            </w:pPr>
            <w:r/>
            <w:r>
              <w:rPr>
                <w:rFonts w:ascii="Aptos" w:hAnsi="Aptos"/>
                <w:b/>
                <w:color w:val="FFFFFF"/>
                <w:sz w:val="15"/>
              </w:rPr>
              <w:t>Type</w:t>
            </w:r>
          </w:p>
        </w:tc>
        <w:tc>
          <w:tcPr>
            <w:tcW w:type="dxa" w:w="8280"/>
            <w:vAlign w:val="center"/>
            <w:tcMar>
              <w:top w:w="80" w:type="dxa"/>
              <w:start w:w="100" w:type="dxa"/>
              <w:bottom w:w="80" w:type="dxa"/>
              <w:end w:w="100" w:type="dxa"/>
            </w:tcMar>
            <w:shd w:fill="17365D"/>
          </w:tcPr>
          <w:p>
            <w:pPr>
              <w:spacing w:after="0" w:before="0"/>
            </w:pPr>
            <w:r/>
            <w:r>
              <w:rPr>
                <w:rFonts w:ascii="Aptos" w:hAnsi="Aptos"/>
                <w:b/>
                <w:color w:val="FFFFFF"/>
                <w:sz w:val="15"/>
              </w:rPr>
              <w:t>Contract / example</w:t>
            </w:r>
          </w:p>
        </w:tc>
      </w:tr>
      <w:tr>
        <w:trPr>
          <w:cantSplit/>
        </w:trPr>
        <w:tc>
          <w:tcPr>
            <w:tcW w:type="dxa" w:w="1944"/>
            <w:vAlign w:val="center"/>
            <w:tcMar>
              <w:top w:w="80" w:type="dxa"/>
              <w:start w:w="100" w:type="dxa"/>
              <w:bottom w:w="80" w:type="dxa"/>
              <w:end w:w="100" w:type="dxa"/>
            </w:tcMar>
            <w:shd w:fill="F3F6F9"/>
          </w:tcPr>
          <w:p>
            <w:pPr>
              <w:spacing w:after="0" w:before="0"/>
            </w:pPr>
            <w:r/>
            <w:r>
              <w:rPr>
                <w:rFonts w:ascii="Aptos" w:hAnsi="Aptos"/>
                <w:b w:val="0"/>
                <w:sz w:val="15"/>
              </w:rPr>
              <w:t>Internal API</w:t>
            </w:r>
          </w:p>
        </w:tc>
        <w:tc>
          <w:tcPr>
            <w:tcW w:type="dxa" w:w="8280"/>
            <w:vAlign w:val="center"/>
            <w:tcMar>
              <w:top w:w="80" w:type="dxa"/>
              <w:start w:w="100" w:type="dxa"/>
              <w:bottom w:w="80" w:type="dxa"/>
              <w:end w:w="100" w:type="dxa"/>
            </w:tcMar>
            <w:shd w:fill="F3F6F9"/>
          </w:tcPr>
          <w:p>
            <w:pPr>
              <w:spacing w:after="0" w:before="0"/>
            </w:pPr>
            <w:r/>
            <w:r>
              <w:rPr>
                <w:rFonts w:ascii="Aptos" w:hAnsi="Aptos"/>
                <w:b w:val="0"/>
                <w:sz w:val="15"/>
              </w:rPr>
              <w:t>POST /internal/v1/normalizations with source payload, mapping version, data classification policy and provenance.</w:t>
            </w:r>
          </w:p>
        </w:tc>
      </w:tr>
      <w:tr>
        <w:trPr>
          <w:cantSplit/>
        </w:trPr>
        <w:tc>
          <w:tcPr>
            <w:tcW w:type="dxa" w:w="1944"/>
            <w:vAlign w:val="center"/>
            <w:tcMar>
              <w:top w:w="80" w:type="dxa"/>
              <w:start w:w="100" w:type="dxa"/>
              <w:bottom w:w="80" w:type="dxa"/>
              <w:end w:w="100" w:type="dxa"/>
            </w:tcMar>
          </w:tcPr>
          <w:p>
            <w:pPr>
              <w:spacing w:after="0" w:before="0"/>
            </w:pPr>
            <w:r/>
            <w:r>
              <w:rPr>
                <w:rFonts w:ascii="Aptos" w:hAnsi="Aptos"/>
                <w:b w:val="0"/>
                <w:sz w:val="15"/>
              </w:rPr>
              <w:t>Response</w:t>
            </w:r>
          </w:p>
        </w:tc>
        <w:tc>
          <w:tcPr>
            <w:tcW w:type="dxa" w:w="8280"/>
            <w:vAlign w:val="center"/>
            <w:tcMar>
              <w:top w:w="80" w:type="dxa"/>
              <w:start w:w="100" w:type="dxa"/>
              <w:bottom w:w="80" w:type="dxa"/>
              <w:end w:w="100" w:type="dxa"/>
            </w:tcMar>
          </w:tcPr>
          <w:p>
            <w:pPr>
              <w:spacing w:after="0" w:before="0"/>
            </w:pPr>
            <w:r/>
            <w:r>
              <w:rPr>
                <w:rFonts w:ascii="Aptos" w:hAnsi="Aptos"/>
                <w:b w:val="0"/>
                <w:sz w:val="15"/>
              </w:rPr>
              <w:t>canonicalPayload, dataQualityStatus, maskedFields, rejectedFields, provenance, warnings</w:t>
            </w:r>
          </w:p>
        </w:tc>
      </w:tr>
      <w:tr>
        <w:trPr>
          <w:cantSplit/>
        </w:trPr>
        <w:tc>
          <w:tcPr>
            <w:tcW w:type="dxa" w:w="1944"/>
            <w:vAlign w:val="center"/>
            <w:tcMar>
              <w:top w:w="80" w:type="dxa"/>
              <w:start w:w="100" w:type="dxa"/>
              <w:bottom w:w="80" w:type="dxa"/>
              <w:end w:w="100" w:type="dxa"/>
            </w:tcMar>
            <w:shd w:fill="F3F6F9"/>
          </w:tcPr>
          <w:p>
            <w:pPr>
              <w:spacing w:after="0" w:before="0"/>
            </w:pPr>
            <w:r/>
            <w:r>
              <w:rPr>
                <w:rFonts w:ascii="Aptos" w:hAnsi="Aptos"/>
                <w:b w:val="0"/>
                <w:sz w:val="15"/>
              </w:rPr>
              <w:t>Failure</w:t>
            </w:r>
          </w:p>
        </w:tc>
        <w:tc>
          <w:tcPr>
            <w:tcW w:type="dxa" w:w="8280"/>
            <w:vAlign w:val="center"/>
            <w:tcMar>
              <w:top w:w="80" w:type="dxa"/>
              <w:start w:w="100" w:type="dxa"/>
              <w:bottom w:w="80" w:type="dxa"/>
              <w:end w:w="100" w:type="dxa"/>
            </w:tcMar>
            <w:shd w:fill="F3F6F9"/>
          </w:tcPr>
          <w:p>
            <w:pPr>
              <w:spacing w:after="0" w:before="0"/>
            </w:pPr>
            <w:r/>
            <w:r>
              <w:rPr>
                <w:rFonts w:ascii="Aptos" w:hAnsi="Aptos"/>
                <w:b w:val="0"/>
                <w:sz w:val="15"/>
              </w:rPr>
              <w:t>Return typed schema/masking failures; never silently remove a field that is required for a rule and then treat the result as a pass.</w:t>
            </w:r>
          </w:p>
        </w:tc>
      </w:tr>
    </w:tbl>
    <w:p>
      <w:pPr>
        <w:spacing w:after="20"/>
      </w:pPr>
    </w:p>
    <w:p>
      <w:pPr>
        <w:pStyle w:val="Heading2"/>
        <w:keepNext/>
      </w:pPr>
      <w:r>
        <w:t>Must not own / boundary rules</w:t>
      </w:r>
    </w:p>
    <w:p>
      <w:pPr>
        <w:pStyle w:val="ListBullet"/>
        <w:keepLines/>
        <w:spacing w:after="40"/>
      </w:pPr>
      <w:r>
        <w:t>Does not call enterprise APIs or databases.</w:t>
      </w:r>
    </w:p>
    <w:p>
      <w:pPr>
        <w:pStyle w:val="ListBullet"/>
        <w:keepLines/>
        <w:spacing w:after="40"/>
      </w:pPr>
      <w:r>
        <w:t>Does not evaluate business compliance rules.</w:t>
      </w:r>
    </w:p>
    <w:p>
      <w:pPr>
        <w:pStyle w:val="ListBullet"/>
        <w:keepLines/>
        <w:spacing w:after="40"/>
      </w:pPr>
      <w:r>
        <w:t>Does not retain PII or payment card data in logs, traces or persistent storage.</w:t>
      </w:r>
    </w:p>
    <w:p>
      <w:pPr>
        <w:pStyle w:val="Heading2"/>
        <w:keepNext/>
      </w:pPr>
      <w:r>
        <w:t>Key implementation notes</w:t>
      </w:r>
    </w:p>
    <w:p>
      <w:pPr>
        <w:pStyle w:val="ListBullet"/>
        <w:keepLines/>
        <w:spacing w:after="40"/>
      </w:pPr>
      <w:r>
        <w:t>The system must distinguish “not found” from “field absent” and “field masked”; these states are not equivalent.</w:t>
      </w:r>
    </w:p>
    <w:p>
      <w:pPr>
        <w:pStyle w:val="ListBullet"/>
        <w:keepLines/>
        <w:spacing w:after="40"/>
      </w:pPr>
      <w:r>
        <w:t>Masking rules should be policy-driven and tested with representative GDPR, HIPAA and PCI data cases.</w:t>
      </w:r>
    </w:p>
    <w:p>
      <w:pPr>
        <w:pStyle w:val="Heading1"/>
        <w:keepNext/>
      </w:pPr>
      <w:r>
        <w:t>11. Rule Evaluation Service</w:t>
      </w:r>
    </w:p>
    <w:p>
      <w:pPr>
        <w:keepNext/>
        <w:spacing w:after="140"/>
      </w:pPr>
      <w:r>
        <w:rPr>
          <w:i/>
          <w:color w:val="4B6982"/>
          <w:sz w:val="20"/>
        </w:rPr>
        <w:t>Data Plane | Executes deterministic, restricted business rules</w:t>
      </w:r>
    </w:p>
    <w:p>
      <w:pPr>
        <w:pStyle w:val="Heading2"/>
        <w:keepNext/>
      </w:pPr>
      <w:r>
        <w:t>Purpose and bounded context</w:t>
      </w:r>
    </w:p>
    <w:p>
      <w:pPr>
        <w:spacing w:after="100"/>
      </w:pPr>
      <w:r>
        <w:t>Owns deterministic evaluation of blueprint-defined rules using Spring Expression Language. It is the decision engine for operational truth; the LLM translates and summarizes results but does not decide compliance.</w:t>
      </w:r>
    </w:p>
    <w:p>
      <w:pPr>
        <w:pStyle w:val="Heading2"/>
        <w:keepNext/>
      </w:pPr>
      <w:r>
        <w:t>Responsibilities</w:t>
      </w:r>
    </w:p>
    <w:p>
      <w:pPr>
        <w:pStyle w:val="ListBullet"/>
        <w:keepLines/>
        <w:spacing w:after="40"/>
      </w:pPr>
      <w:r>
        <w:t>Accept a normalized payload and a pinned, validated rule-set version.</w:t>
      </w:r>
    </w:p>
    <w:p>
      <w:pPr>
        <w:pStyle w:val="ListBullet"/>
        <w:keepLines/>
        <w:spacing w:after="40"/>
      </w:pPr>
      <w:r>
        <w:t>Evaluate expressions in a restricted SpEL context.</w:t>
      </w:r>
    </w:p>
    <w:p>
      <w:pPr>
        <w:pStyle w:val="ListBullet"/>
        <w:keepLines/>
        <w:spacing w:after="40"/>
      </w:pPr>
      <w:r>
        <w:t>Return rule-level pass/fail/unknown results, reason codes and evaluation metadata.</w:t>
      </w:r>
    </w:p>
    <w:p>
      <w:pPr>
        <w:pStyle w:val="ListBullet"/>
        <w:keepLines/>
        <w:spacing w:after="40"/>
      </w:pPr>
      <w:r>
        <w:t>Handle missing/invalid inputs as unknown or indeterminate, never as an implicit pass.</w:t>
      </w:r>
    </w:p>
    <w:p>
      <w:pPr>
        <w:pStyle w:val="ListBullet"/>
        <w:keepLines/>
        <w:spacing w:after="40"/>
      </w:pPr>
      <w:r>
        <w:t>Support deterministic repeatable evaluation for the same inputs and rule version.</w:t>
      </w:r>
    </w:p>
    <w:p>
      <w:pPr>
        <w:pStyle w:val="Heading2"/>
        <w:keepNext/>
      </w:pPr>
      <w:r>
        <w:t>Recommended design patterns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232"/>
            <w:vAlign w:val="center"/>
            <w:tcMar>
              <w:top w:w="80" w:type="dxa"/>
              <w:start w:w="100" w:type="dxa"/>
              <w:bottom w:w="80" w:type="dxa"/>
              <w:end w:w="100" w:type="dxa"/>
            </w:tcMar>
            <w:shd w:fill="17365D"/>
          </w:tcPr>
          <w:p>
            <w:pPr>
              <w:spacing w:after="0" w:before="0"/>
            </w:pPr>
            <w:r/>
            <w:r>
              <w:rPr>
                <w:rFonts w:ascii="Aptos" w:hAnsi="Aptos"/>
                <w:b/>
                <w:color w:val="FFFFFF"/>
                <w:sz w:val="15"/>
              </w:rPr>
              <w:t>Pattern</w:t>
            </w:r>
          </w:p>
        </w:tc>
        <w:tc>
          <w:tcPr>
            <w:tcW w:type="dxa" w:w="7992"/>
            <w:vAlign w:val="center"/>
            <w:tcMar>
              <w:top w:w="80" w:type="dxa"/>
              <w:start w:w="100" w:type="dxa"/>
              <w:bottom w:w="80" w:type="dxa"/>
              <w:end w:w="100" w:type="dxa"/>
            </w:tcMar>
            <w:shd w:fill="17365D"/>
          </w:tcPr>
          <w:p>
            <w:pPr>
              <w:spacing w:after="0" w:before="0"/>
            </w:pPr>
            <w:r/>
            <w:r>
              <w:rPr>
                <w:rFonts w:ascii="Aptos" w:hAnsi="Aptos"/>
                <w:b/>
                <w:color w:val="FFFFFF"/>
                <w:sz w:val="15"/>
              </w:rPr>
              <w:t>How to apply it here</w:t>
            </w:r>
          </w:p>
        </w:tc>
      </w:tr>
      <w:tr>
        <w:trPr>
          <w:cantSplit/>
        </w:trPr>
        <w:tc>
          <w:tcPr>
            <w:tcW w:type="dxa" w:w="2232"/>
            <w:vAlign w:val="center"/>
            <w:tcMar>
              <w:top w:w="80" w:type="dxa"/>
              <w:start w:w="100" w:type="dxa"/>
              <w:bottom w:w="80" w:type="dxa"/>
              <w:end w:w="100" w:type="dxa"/>
            </w:tcMar>
            <w:shd w:fill="F3F6F9"/>
          </w:tcPr>
          <w:p>
            <w:pPr>
              <w:spacing w:after="0" w:before="0"/>
            </w:pPr>
            <w:r/>
            <w:r>
              <w:rPr>
                <w:rFonts w:ascii="Aptos" w:hAnsi="Aptos"/>
                <w:b w:val="0"/>
                <w:sz w:val="15"/>
              </w:rPr>
              <w:t>Interpreter</w:t>
            </w:r>
          </w:p>
        </w:tc>
        <w:tc>
          <w:tcPr>
            <w:tcW w:type="dxa" w:w="7992"/>
            <w:vAlign w:val="center"/>
            <w:tcMar>
              <w:top w:w="80" w:type="dxa"/>
              <w:start w:w="100" w:type="dxa"/>
              <w:bottom w:w="80" w:type="dxa"/>
              <w:end w:w="100" w:type="dxa"/>
            </w:tcMar>
            <w:shd w:fill="F3F6F9"/>
          </w:tcPr>
          <w:p>
            <w:pPr>
              <w:spacing w:after="0" w:before="0"/>
            </w:pPr>
            <w:r/>
            <w:r>
              <w:rPr>
                <w:rFonts w:ascii="Aptos" w:hAnsi="Aptos"/>
                <w:b w:val="0"/>
                <w:sz w:val="15"/>
              </w:rPr>
              <w:t>Use the SpEL expression parser as the expression interpreter, with a deliberately limited evaluation context.</w:t>
            </w:r>
          </w:p>
        </w:tc>
      </w:tr>
      <w:tr>
        <w:trPr>
          <w:cantSplit/>
        </w:trPr>
        <w:tc>
          <w:tcPr>
            <w:tcW w:type="dxa" w:w="2232"/>
            <w:vAlign w:val="center"/>
            <w:tcMar>
              <w:top w:w="80" w:type="dxa"/>
              <w:start w:w="100" w:type="dxa"/>
              <w:bottom w:w="80" w:type="dxa"/>
              <w:end w:w="100" w:type="dxa"/>
            </w:tcMar>
          </w:tcPr>
          <w:p>
            <w:pPr>
              <w:spacing w:after="0" w:before="0"/>
            </w:pPr>
            <w:r/>
            <w:r>
              <w:rPr>
                <w:rFonts w:ascii="Aptos" w:hAnsi="Aptos"/>
                <w:b w:val="0"/>
                <w:sz w:val="15"/>
              </w:rPr>
              <w:t>Specification</w:t>
            </w:r>
          </w:p>
        </w:tc>
        <w:tc>
          <w:tcPr>
            <w:tcW w:type="dxa" w:w="7992"/>
            <w:vAlign w:val="center"/>
            <w:tcMar>
              <w:top w:w="80" w:type="dxa"/>
              <w:start w:w="100" w:type="dxa"/>
              <w:bottom w:w="80" w:type="dxa"/>
              <w:end w:w="100" w:type="dxa"/>
            </w:tcMar>
          </w:tcPr>
          <w:p>
            <w:pPr>
              <w:spacing w:after="0" w:before="0"/>
            </w:pPr>
            <w:r/>
            <w:r>
              <w:rPr>
                <w:rFonts w:ascii="Aptos" w:hAnsi="Aptos"/>
                <w:b w:val="0"/>
                <w:sz w:val="15"/>
              </w:rPr>
              <w:t>Represent business conditions as reusable specifications that can be composed with AND/OR/NOT.</w:t>
            </w:r>
          </w:p>
        </w:tc>
      </w:tr>
      <w:tr>
        <w:trPr>
          <w:cantSplit/>
        </w:trPr>
        <w:tc>
          <w:tcPr>
            <w:tcW w:type="dxa" w:w="2232"/>
            <w:vAlign w:val="center"/>
            <w:tcMar>
              <w:top w:w="80" w:type="dxa"/>
              <w:start w:w="100" w:type="dxa"/>
              <w:bottom w:w="80" w:type="dxa"/>
              <w:end w:w="100" w:type="dxa"/>
            </w:tcMar>
            <w:shd w:fill="F3F6F9"/>
          </w:tcPr>
          <w:p>
            <w:pPr>
              <w:spacing w:after="0" w:before="0"/>
            </w:pPr>
            <w:r/>
            <w:r>
              <w:rPr>
                <w:rFonts w:ascii="Aptos" w:hAnsi="Aptos"/>
                <w:b w:val="0"/>
                <w:sz w:val="15"/>
              </w:rPr>
              <w:t>Strategy</w:t>
            </w:r>
          </w:p>
        </w:tc>
        <w:tc>
          <w:tcPr>
            <w:tcW w:type="dxa" w:w="7992"/>
            <w:vAlign w:val="center"/>
            <w:tcMar>
              <w:top w:w="80" w:type="dxa"/>
              <w:start w:w="100" w:type="dxa"/>
              <w:bottom w:w="80" w:type="dxa"/>
              <w:end w:w="100" w:type="dxa"/>
            </w:tcMar>
            <w:shd w:fill="F3F6F9"/>
          </w:tcPr>
          <w:p>
            <w:pPr>
              <w:spacing w:after="0" w:before="0"/>
            </w:pPr>
            <w:r/>
            <w:r>
              <w:rPr>
                <w:rFonts w:ascii="Aptos" w:hAnsi="Aptos"/>
                <w:b w:val="0"/>
                <w:sz w:val="15"/>
              </w:rPr>
              <w:t>Support rule categories (threshold, equality, time-window, presence/absence) through controlled evaluation strategies where useful.</w:t>
            </w:r>
          </w:p>
        </w:tc>
      </w:tr>
      <w:tr>
        <w:trPr>
          <w:cantSplit/>
        </w:trPr>
        <w:tc>
          <w:tcPr>
            <w:tcW w:type="dxa" w:w="2232"/>
            <w:vAlign w:val="center"/>
            <w:tcMar>
              <w:top w:w="80" w:type="dxa"/>
              <w:start w:w="100" w:type="dxa"/>
              <w:bottom w:w="80" w:type="dxa"/>
              <w:end w:w="100" w:type="dxa"/>
            </w:tcMar>
          </w:tcPr>
          <w:p>
            <w:pPr>
              <w:spacing w:after="0" w:before="0"/>
            </w:pPr>
            <w:r/>
            <w:r>
              <w:rPr>
                <w:rFonts w:ascii="Aptos" w:hAnsi="Aptos"/>
                <w:b w:val="0"/>
                <w:sz w:val="15"/>
              </w:rPr>
              <w:t>Policy/Sandbox boundary</w:t>
            </w:r>
          </w:p>
        </w:tc>
        <w:tc>
          <w:tcPr>
            <w:tcW w:type="dxa" w:w="7992"/>
            <w:vAlign w:val="center"/>
            <w:tcMar>
              <w:top w:w="80" w:type="dxa"/>
              <w:start w:w="100" w:type="dxa"/>
              <w:bottom w:w="80" w:type="dxa"/>
              <w:end w:w="100" w:type="dxa"/>
            </w:tcMar>
          </w:tcPr>
          <w:p>
            <w:pPr>
              <w:spacing w:after="0" w:before="0"/>
            </w:pPr>
            <w:r/>
            <w:r>
              <w:rPr>
                <w:rFonts w:ascii="Aptos" w:hAnsi="Aptos"/>
                <w:b w:val="0"/>
                <w:sz w:val="15"/>
              </w:rPr>
              <w:t>Whitelist accessible variables and operators; prohibit arbitrary bean access, type references, constructors, reflection and method invocation.</w:t>
            </w:r>
          </w:p>
        </w:tc>
      </w:tr>
    </w:tbl>
    <w:p>
      <w:pPr>
        <w:spacing w:after="20"/>
      </w:pPr>
    </w:p>
    <w:p>
      <w:pPr>
        <w:pStyle w:val="Heading2"/>
        <w:keepNext/>
      </w:pPr>
      <w:r>
        <w:t>Data ownership</w:t>
      </w:r>
    </w:p>
    <w:p>
      <w:pPr>
        <w:spacing w:after="100"/>
      </w:pPr>
      <w:r>
        <w:t>Stateless evaluation service. Rules arrive as immutable, validated versioned input. Cache compiled expressions by blueprint version and rule hash; cache is disposable and contains no customer record data.</w:t>
      </w:r>
    </w:p>
    <w:p>
      <w:pPr>
        <w:pStyle w:val="Heading2"/>
        <w:keepNext/>
      </w:pPr>
      <w:r>
        <w:t>Representative interface</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1944"/>
            <w:vAlign w:val="center"/>
            <w:tcMar>
              <w:top w:w="80" w:type="dxa"/>
              <w:start w:w="100" w:type="dxa"/>
              <w:bottom w:w="80" w:type="dxa"/>
              <w:end w:w="100" w:type="dxa"/>
            </w:tcMar>
            <w:shd w:fill="17365D"/>
          </w:tcPr>
          <w:p>
            <w:pPr>
              <w:spacing w:after="0" w:before="0"/>
            </w:pPr>
            <w:r/>
            <w:r>
              <w:rPr>
                <w:rFonts w:ascii="Aptos" w:hAnsi="Aptos"/>
                <w:b/>
                <w:color w:val="FFFFFF"/>
                <w:sz w:val="15"/>
              </w:rPr>
              <w:t>Type</w:t>
            </w:r>
          </w:p>
        </w:tc>
        <w:tc>
          <w:tcPr>
            <w:tcW w:type="dxa" w:w="8280"/>
            <w:vAlign w:val="center"/>
            <w:tcMar>
              <w:top w:w="80" w:type="dxa"/>
              <w:start w:w="100" w:type="dxa"/>
              <w:bottom w:w="80" w:type="dxa"/>
              <w:end w:w="100" w:type="dxa"/>
            </w:tcMar>
            <w:shd w:fill="17365D"/>
          </w:tcPr>
          <w:p>
            <w:pPr>
              <w:spacing w:after="0" w:before="0"/>
            </w:pPr>
            <w:r/>
            <w:r>
              <w:rPr>
                <w:rFonts w:ascii="Aptos" w:hAnsi="Aptos"/>
                <w:b/>
                <w:color w:val="FFFFFF"/>
                <w:sz w:val="15"/>
              </w:rPr>
              <w:t>Contract / example</w:t>
            </w:r>
          </w:p>
        </w:tc>
      </w:tr>
      <w:tr>
        <w:trPr>
          <w:cantSplit/>
        </w:trPr>
        <w:tc>
          <w:tcPr>
            <w:tcW w:type="dxa" w:w="1944"/>
            <w:vAlign w:val="center"/>
            <w:tcMar>
              <w:top w:w="80" w:type="dxa"/>
              <w:start w:w="100" w:type="dxa"/>
              <w:bottom w:w="80" w:type="dxa"/>
              <w:end w:w="100" w:type="dxa"/>
            </w:tcMar>
            <w:shd w:fill="F3F6F9"/>
          </w:tcPr>
          <w:p>
            <w:pPr>
              <w:spacing w:after="0" w:before="0"/>
            </w:pPr>
            <w:r/>
            <w:r>
              <w:rPr>
                <w:rFonts w:ascii="Aptos" w:hAnsi="Aptos"/>
                <w:b w:val="0"/>
                <w:sz w:val="15"/>
              </w:rPr>
              <w:t>Internal API</w:t>
            </w:r>
          </w:p>
        </w:tc>
        <w:tc>
          <w:tcPr>
            <w:tcW w:type="dxa" w:w="8280"/>
            <w:vAlign w:val="center"/>
            <w:tcMar>
              <w:top w:w="80" w:type="dxa"/>
              <w:start w:w="100" w:type="dxa"/>
              <w:bottom w:w="80" w:type="dxa"/>
              <w:end w:w="100" w:type="dxa"/>
            </w:tcMar>
            <w:shd w:fill="F3F6F9"/>
          </w:tcPr>
          <w:p>
            <w:pPr>
              <w:spacing w:after="0" w:before="0"/>
            </w:pPr>
            <w:r/>
            <w:r>
              <w:rPr>
                <w:rFonts w:ascii="Aptos" w:hAnsi="Aptos"/>
                <w:b w:val="0"/>
                <w:sz w:val="15"/>
              </w:rPr>
              <w:t>POST /internal/v1/rules/evaluate with normalized payload, rule-set ID/version and execution ID.</w:t>
            </w:r>
          </w:p>
        </w:tc>
      </w:tr>
      <w:tr>
        <w:trPr>
          <w:cantSplit/>
        </w:trPr>
        <w:tc>
          <w:tcPr>
            <w:tcW w:type="dxa" w:w="1944"/>
            <w:vAlign w:val="center"/>
            <w:tcMar>
              <w:top w:w="80" w:type="dxa"/>
              <w:start w:w="100" w:type="dxa"/>
              <w:bottom w:w="80" w:type="dxa"/>
              <w:end w:w="100" w:type="dxa"/>
            </w:tcMar>
          </w:tcPr>
          <w:p>
            <w:pPr>
              <w:spacing w:after="0" w:before="0"/>
            </w:pPr>
            <w:r/>
            <w:r>
              <w:rPr>
                <w:rFonts w:ascii="Aptos" w:hAnsi="Aptos"/>
                <w:b w:val="0"/>
                <w:sz w:val="15"/>
              </w:rPr>
              <w:t>Response</w:t>
            </w:r>
          </w:p>
        </w:tc>
        <w:tc>
          <w:tcPr>
            <w:tcW w:type="dxa" w:w="8280"/>
            <w:vAlign w:val="center"/>
            <w:tcMar>
              <w:top w:w="80" w:type="dxa"/>
              <w:start w:w="100" w:type="dxa"/>
              <w:bottom w:w="80" w:type="dxa"/>
              <w:end w:w="100" w:type="dxa"/>
            </w:tcMar>
          </w:tcPr>
          <w:p>
            <w:pPr>
              <w:spacing w:after="0" w:before="0"/>
            </w:pPr>
            <w:r/>
            <w:r>
              <w:rPr>
                <w:rFonts w:ascii="Aptos" w:hAnsi="Aptos"/>
                <w:b w:val="0"/>
                <w:sz w:val="15"/>
              </w:rPr>
              <w:t>overallStatus, ruleResults[], failedRules[], unknownRules[], reasonCodes, ruleSetVersion</w:t>
            </w:r>
          </w:p>
        </w:tc>
      </w:tr>
      <w:tr>
        <w:trPr>
          <w:cantSplit/>
        </w:trPr>
        <w:tc>
          <w:tcPr>
            <w:tcW w:type="dxa" w:w="1944"/>
            <w:vAlign w:val="center"/>
            <w:tcMar>
              <w:top w:w="80" w:type="dxa"/>
              <w:start w:w="100" w:type="dxa"/>
              <w:bottom w:w="80" w:type="dxa"/>
              <w:end w:w="100" w:type="dxa"/>
            </w:tcMar>
            <w:shd w:fill="F3F6F9"/>
          </w:tcPr>
          <w:p>
            <w:pPr>
              <w:spacing w:after="0" w:before="0"/>
            </w:pPr>
            <w:r/>
            <w:r>
              <w:rPr>
                <w:rFonts w:ascii="Aptos" w:hAnsi="Aptos"/>
                <w:b w:val="0"/>
                <w:sz w:val="15"/>
              </w:rPr>
              <w:t>Events out</w:t>
            </w:r>
          </w:p>
        </w:tc>
        <w:tc>
          <w:tcPr>
            <w:tcW w:type="dxa" w:w="8280"/>
            <w:vAlign w:val="center"/>
            <w:tcMar>
              <w:top w:w="80" w:type="dxa"/>
              <w:start w:w="100" w:type="dxa"/>
              <w:bottom w:w="80" w:type="dxa"/>
              <w:end w:w="100" w:type="dxa"/>
            </w:tcMar>
            <w:shd w:fill="F3F6F9"/>
          </w:tcPr>
          <w:p>
            <w:pPr>
              <w:spacing w:after="0" w:before="0"/>
            </w:pPr>
            <w:r/>
            <w:r>
              <w:rPr>
                <w:rFonts w:ascii="Aptos" w:hAnsi="Aptos"/>
                <w:b w:val="0"/>
                <w:sz w:val="15"/>
              </w:rPr>
              <w:t>RuleEvaluationCompleted and RuleEvaluationFailed may be emitted for trace/audit; avoid publishing full payloads.</w:t>
            </w:r>
          </w:p>
        </w:tc>
      </w:tr>
    </w:tbl>
    <w:p>
      <w:pPr>
        <w:spacing w:after="20"/>
      </w:pPr>
    </w:p>
    <w:p>
      <w:pPr>
        <w:pStyle w:val="Heading2"/>
        <w:keepNext/>
      </w:pPr>
      <w:r>
        <w:t>Must not own / boundary rules</w:t>
      </w:r>
    </w:p>
    <w:p>
      <w:pPr>
        <w:pStyle w:val="ListBullet"/>
        <w:keepLines/>
        <w:spacing w:after="40"/>
      </w:pPr>
      <w:r>
        <w:t>Does not fetch data or normalize source formats.</w:t>
      </w:r>
    </w:p>
    <w:p>
      <w:pPr>
        <w:pStyle w:val="ListBullet"/>
        <w:keepLines/>
        <w:spacing w:after="40"/>
      </w:pPr>
      <w:r>
        <w:t>Does not generate natural-language answers or make confidence-based guesses.</w:t>
      </w:r>
    </w:p>
    <w:p>
      <w:pPr>
        <w:pStyle w:val="ListBullet"/>
        <w:keepLines/>
        <w:spacing w:after="40"/>
      </w:pPr>
      <w:r>
        <w:t>Does not accept arbitrary executable scripts from users or the LLM.</w:t>
      </w:r>
    </w:p>
    <w:p>
      <w:pPr>
        <w:pStyle w:val="Heading2"/>
        <w:keepNext/>
      </w:pPr>
      <w:r>
        <w:t>Key implementation notes</w:t>
      </w:r>
    </w:p>
    <w:p>
      <w:pPr>
        <w:pStyle w:val="ListBullet"/>
        <w:keepLines/>
        <w:spacing w:after="40"/>
      </w:pPr>
      <w:r>
        <w:t>A rule result should support PASS, FAIL and INDETERMINATE/UNKNOWN. Missing evidence must not be converted to PASS.</w:t>
      </w:r>
    </w:p>
    <w:p>
      <w:pPr>
        <w:pStyle w:val="ListBullet"/>
        <w:keepLines/>
        <w:spacing w:after="40"/>
      </w:pPr>
      <w:r>
        <w:t>Build a rule validation/test endpoint in Blueprint Management, but evaluate production rules only in this service.</w:t>
      </w:r>
    </w:p>
    <w:p>
      <w:pPr>
        <w:pStyle w:val="Heading1"/>
        <w:keepNext/>
      </w:pPr>
      <w:r>
        <w:t>12. Truth &amp; Confidence Service</w:t>
      </w:r>
    </w:p>
    <w:p>
      <w:pPr>
        <w:keepNext/>
        <w:spacing w:after="140"/>
      </w:pPr>
      <w:r>
        <w:rPr>
          <w:i/>
          <w:color w:val="4B6982"/>
          <w:sz w:val="20"/>
        </w:rPr>
        <w:t>Data Plane | Assembles evidence-backed structured results for MCP clients</w:t>
      </w:r>
    </w:p>
    <w:p>
      <w:pPr>
        <w:pStyle w:val="Heading2"/>
        <w:keepNext/>
      </w:pPr>
      <w:r>
        <w:t>Purpose and bounded context</w:t>
      </w:r>
    </w:p>
    <w:p>
      <w:pPr>
        <w:spacing w:after="100"/>
      </w:pPr>
      <w:r>
        <w:t>Transforms the evaluation output and source provenance into a stable Truth Card. It calculates ambiguity/match confidence where the task requires it, without allowing confidence to override deterministic rule results.</w:t>
      </w:r>
    </w:p>
    <w:p>
      <w:pPr>
        <w:pStyle w:val="Heading2"/>
        <w:keepNext/>
      </w:pPr>
      <w:r>
        <w:t>Responsibilities</w:t>
      </w:r>
    </w:p>
    <w:p>
      <w:pPr>
        <w:pStyle w:val="ListBullet"/>
        <w:keepLines/>
        <w:spacing w:after="40"/>
      </w:pPr>
      <w:r>
        <w:t>Assemble tool identity, verification status, rule reasons, evidence references and source provenance.</w:t>
      </w:r>
    </w:p>
    <w:p>
      <w:pPr>
        <w:pStyle w:val="ListBullet"/>
        <w:keepLines/>
        <w:spacing w:after="40"/>
      </w:pPr>
      <w:r>
        <w:t>Produce a stable structured Truth Card response contract.</w:t>
      </w:r>
    </w:p>
    <w:p>
      <w:pPr>
        <w:pStyle w:val="ListBullet"/>
        <w:keepLines/>
        <w:spacing w:after="40"/>
      </w:pPr>
      <w:r>
        <w:t>Calculate confidence for ambiguous entity matching or incomplete evidence when a defined method exists.</w:t>
      </w:r>
    </w:p>
    <w:p>
      <w:pPr>
        <w:pStyle w:val="ListBullet"/>
        <w:keepLines/>
        <w:spacing w:after="40"/>
      </w:pPr>
      <w:r>
        <w:t>Return manual-review recommendation when confidence is low or evidence is ambiguous.</w:t>
      </w:r>
    </w:p>
    <w:p>
      <w:pPr>
        <w:pStyle w:val="ListBullet"/>
        <w:keepLines/>
        <w:spacing w:after="40"/>
      </w:pPr>
      <w:r>
        <w:t>Ensure the AI Host receives facts, evidence and uncertainty as separate fields.</w:t>
      </w:r>
    </w:p>
    <w:p>
      <w:pPr>
        <w:pStyle w:val="Heading2"/>
        <w:keepNext/>
      </w:pPr>
      <w:r>
        <w:t>Recommended design patterns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232"/>
            <w:vAlign w:val="center"/>
            <w:tcMar>
              <w:top w:w="80" w:type="dxa"/>
              <w:start w:w="100" w:type="dxa"/>
              <w:bottom w:w="80" w:type="dxa"/>
              <w:end w:w="100" w:type="dxa"/>
            </w:tcMar>
            <w:shd w:fill="17365D"/>
          </w:tcPr>
          <w:p>
            <w:pPr>
              <w:spacing w:after="0" w:before="0"/>
            </w:pPr>
            <w:r/>
            <w:r>
              <w:rPr>
                <w:rFonts w:ascii="Aptos" w:hAnsi="Aptos"/>
                <w:b/>
                <w:color w:val="FFFFFF"/>
                <w:sz w:val="15"/>
              </w:rPr>
              <w:t>Pattern</w:t>
            </w:r>
          </w:p>
        </w:tc>
        <w:tc>
          <w:tcPr>
            <w:tcW w:type="dxa" w:w="7992"/>
            <w:vAlign w:val="center"/>
            <w:tcMar>
              <w:top w:w="80" w:type="dxa"/>
              <w:start w:w="100" w:type="dxa"/>
              <w:bottom w:w="80" w:type="dxa"/>
              <w:end w:w="100" w:type="dxa"/>
            </w:tcMar>
            <w:shd w:fill="17365D"/>
          </w:tcPr>
          <w:p>
            <w:pPr>
              <w:spacing w:after="0" w:before="0"/>
            </w:pPr>
            <w:r/>
            <w:r>
              <w:rPr>
                <w:rFonts w:ascii="Aptos" w:hAnsi="Aptos"/>
                <w:b/>
                <w:color w:val="FFFFFF"/>
                <w:sz w:val="15"/>
              </w:rPr>
              <w:t>How to apply it here</w:t>
            </w:r>
          </w:p>
        </w:tc>
      </w:tr>
      <w:tr>
        <w:trPr>
          <w:cantSplit/>
        </w:trPr>
        <w:tc>
          <w:tcPr>
            <w:tcW w:type="dxa" w:w="2232"/>
            <w:vAlign w:val="center"/>
            <w:tcMar>
              <w:top w:w="80" w:type="dxa"/>
              <w:start w:w="100" w:type="dxa"/>
              <w:bottom w:w="80" w:type="dxa"/>
              <w:end w:w="100" w:type="dxa"/>
            </w:tcMar>
            <w:shd w:fill="F3F6F9"/>
          </w:tcPr>
          <w:p>
            <w:pPr>
              <w:spacing w:after="0" w:before="0"/>
            </w:pPr>
            <w:r/>
            <w:r>
              <w:rPr>
                <w:rFonts w:ascii="Aptos" w:hAnsi="Aptos"/>
                <w:b w:val="0"/>
                <w:sz w:val="15"/>
              </w:rPr>
              <w:t>Builder</w:t>
            </w:r>
          </w:p>
        </w:tc>
        <w:tc>
          <w:tcPr>
            <w:tcW w:type="dxa" w:w="7992"/>
            <w:vAlign w:val="center"/>
            <w:tcMar>
              <w:top w:w="80" w:type="dxa"/>
              <w:start w:w="100" w:type="dxa"/>
              <w:bottom w:w="80" w:type="dxa"/>
              <w:end w:w="100" w:type="dxa"/>
            </w:tcMar>
            <w:shd w:fill="F3F6F9"/>
          </w:tcPr>
          <w:p>
            <w:pPr>
              <w:spacing w:after="0" w:before="0"/>
            </w:pPr>
            <w:r/>
            <w:r>
              <w:rPr>
                <w:rFonts w:ascii="Aptos" w:hAnsi="Aptos"/>
                <w:b w:val="0"/>
                <w:sz w:val="15"/>
              </w:rPr>
              <w:t>Build a TruthCard from typed components so required fields (status, evidence, source, rule version) cannot be omitted.</w:t>
            </w:r>
          </w:p>
        </w:tc>
      </w:tr>
      <w:tr>
        <w:trPr>
          <w:cantSplit/>
        </w:trPr>
        <w:tc>
          <w:tcPr>
            <w:tcW w:type="dxa" w:w="2232"/>
            <w:vAlign w:val="center"/>
            <w:tcMar>
              <w:top w:w="80" w:type="dxa"/>
              <w:start w:w="100" w:type="dxa"/>
              <w:bottom w:w="80" w:type="dxa"/>
              <w:end w:w="100" w:type="dxa"/>
            </w:tcMar>
          </w:tcPr>
          <w:p>
            <w:pPr>
              <w:spacing w:after="0" w:before="0"/>
            </w:pPr>
            <w:r/>
            <w:r>
              <w:rPr>
                <w:rFonts w:ascii="Aptos" w:hAnsi="Aptos"/>
                <w:b w:val="0"/>
                <w:sz w:val="15"/>
              </w:rPr>
              <w:t>Composite</w:t>
            </w:r>
          </w:p>
        </w:tc>
        <w:tc>
          <w:tcPr>
            <w:tcW w:type="dxa" w:w="7992"/>
            <w:vAlign w:val="center"/>
            <w:tcMar>
              <w:top w:w="80" w:type="dxa"/>
              <w:start w:w="100" w:type="dxa"/>
              <w:bottom w:w="80" w:type="dxa"/>
              <w:end w:w="100" w:type="dxa"/>
            </w:tcMar>
          </w:tcPr>
          <w:p>
            <w:pPr>
              <w:spacing w:after="0" w:before="0"/>
            </w:pPr>
            <w:r/>
            <w:r>
              <w:rPr>
                <w:rFonts w:ascii="Aptos" w:hAnsi="Aptos"/>
                <w:b w:val="0"/>
                <w:sz w:val="15"/>
              </w:rPr>
              <w:t>Aggregate multiple rule results and evidence items into one overall verification result with explicit aggregation semantics.</w:t>
            </w:r>
          </w:p>
        </w:tc>
      </w:tr>
      <w:tr>
        <w:trPr>
          <w:cantSplit/>
        </w:trPr>
        <w:tc>
          <w:tcPr>
            <w:tcW w:type="dxa" w:w="2232"/>
            <w:vAlign w:val="center"/>
            <w:tcMar>
              <w:top w:w="80" w:type="dxa"/>
              <w:start w:w="100" w:type="dxa"/>
              <w:bottom w:w="80" w:type="dxa"/>
              <w:end w:w="100" w:type="dxa"/>
            </w:tcMar>
            <w:shd w:fill="F3F6F9"/>
          </w:tcPr>
          <w:p>
            <w:pPr>
              <w:spacing w:after="0" w:before="0"/>
            </w:pPr>
            <w:r/>
            <w:r>
              <w:rPr>
                <w:rFonts w:ascii="Aptos" w:hAnsi="Aptos"/>
                <w:b w:val="0"/>
                <w:sz w:val="15"/>
              </w:rPr>
              <w:t>Strategy</w:t>
            </w:r>
          </w:p>
        </w:tc>
        <w:tc>
          <w:tcPr>
            <w:tcW w:type="dxa" w:w="7992"/>
            <w:vAlign w:val="center"/>
            <w:tcMar>
              <w:top w:w="80" w:type="dxa"/>
              <w:start w:w="100" w:type="dxa"/>
              <w:bottom w:w="80" w:type="dxa"/>
              <w:end w:w="100" w:type="dxa"/>
            </w:tcMar>
            <w:shd w:fill="F3F6F9"/>
          </w:tcPr>
          <w:p>
            <w:pPr>
              <w:spacing w:after="0" w:before="0"/>
            </w:pPr>
            <w:r/>
            <w:r>
              <w:rPr>
                <w:rFonts w:ascii="Aptos" w:hAnsi="Aptos"/>
                <w:b w:val="0"/>
                <w:sz w:val="15"/>
              </w:rPr>
              <w:t>Use a named confidence strategy for different matching problems; document calibration and thresholds for each strategy.</w:t>
            </w:r>
          </w:p>
        </w:tc>
      </w:tr>
      <w:tr>
        <w:trPr>
          <w:cantSplit/>
        </w:trPr>
        <w:tc>
          <w:tcPr>
            <w:tcW w:type="dxa" w:w="2232"/>
            <w:vAlign w:val="center"/>
            <w:tcMar>
              <w:top w:w="80" w:type="dxa"/>
              <w:start w:w="100" w:type="dxa"/>
              <w:bottom w:w="80" w:type="dxa"/>
              <w:end w:w="100" w:type="dxa"/>
            </w:tcMar>
          </w:tcPr>
          <w:p>
            <w:pPr>
              <w:spacing w:after="0" w:before="0"/>
            </w:pPr>
            <w:r/>
            <w:r>
              <w:rPr>
                <w:rFonts w:ascii="Aptos" w:hAnsi="Aptos"/>
                <w:b w:val="0"/>
                <w:sz w:val="15"/>
              </w:rPr>
              <w:t>Anti-corruption Layer</w:t>
            </w:r>
          </w:p>
        </w:tc>
        <w:tc>
          <w:tcPr>
            <w:tcW w:type="dxa" w:w="7992"/>
            <w:vAlign w:val="center"/>
            <w:tcMar>
              <w:top w:w="80" w:type="dxa"/>
              <w:start w:w="100" w:type="dxa"/>
              <w:bottom w:w="80" w:type="dxa"/>
              <w:end w:w="100" w:type="dxa"/>
            </w:tcMar>
          </w:tcPr>
          <w:p>
            <w:pPr>
              <w:spacing w:after="0" w:before="0"/>
            </w:pPr>
            <w:r/>
            <w:r>
              <w:rPr>
                <w:rFonts w:ascii="Aptos" w:hAnsi="Aptos"/>
                <w:b w:val="0"/>
                <w:sz w:val="15"/>
              </w:rPr>
              <w:t>Translate internal connector/rule result contracts into the stable MCP-facing Truth Card contract.</w:t>
            </w:r>
          </w:p>
        </w:tc>
      </w:tr>
    </w:tbl>
    <w:p>
      <w:pPr>
        <w:spacing w:after="20"/>
      </w:pPr>
    </w:p>
    <w:p>
      <w:pPr>
        <w:pStyle w:val="Heading2"/>
        <w:keepNext/>
      </w:pPr>
      <w:r>
        <w:t>Data ownership</w:t>
      </w:r>
    </w:p>
    <w:p>
      <w:pPr>
        <w:spacing w:after="100"/>
      </w:pPr>
      <w:r>
        <w:t>No raw-data persistence by default. If explainability history is required, store minimal metadata or encrypted evidence references under tenant-controlled retention. Do not create a second copy of customer business records.</w:t>
      </w:r>
    </w:p>
    <w:p>
      <w:pPr>
        <w:pStyle w:val="Heading2"/>
        <w:keepNext/>
      </w:pPr>
      <w:r>
        <w:t>Representative interface</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1944"/>
            <w:vAlign w:val="center"/>
            <w:tcMar>
              <w:top w:w="80" w:type="dxa"/>
              <w:start w:w="100" w:type="dxa"/>
              <w:bottom w:w="80" w:type="dxa"/>
              <w:end w:w="100" w:type="dxa"/>
            </w:tcMar>
            <w:shd w:fill="17365D"/>
          </w:tcPr>
          <w:p>
            <w:pPr>
              <w:spacing w:after="0" w:before="0"/>
            </w:pPr>
            <w:r/>
            <w:r>
              <w:rPr>
                <w:rFonts w:ascii="Aptos" w:hAnsi="Aptos"/>
                <w:b/>
                <w:color w:val="FFFFFF"/>
                <w:sz w:val="15"/>
              </w:rPr>
              <w:t>Type</w:t>
            </w:r>
          </w:p>
        </w:tc>
        <w:tc>
          <w:tcPr>
            <w:tcW w:type="dxa" w:w="8280"/>
            <w:vAlign w:val="center"/>
            <w:tcMar>
              <w:top w:w="80" w:type="dxa"/>
              <w:start w:w="100" w:type="dxa"/>
              <w:bottom w:w="80" w:type="dxa"/>
              <w:end w:w="100" w:type="dxa"/>
            </w:tcMar>
            <w:shd w:fill="17365D"/>
          </w:tcPr>
          <w:p>
            <w:pPr>
              <w:spacing w:after="0" w:before="0"/>
            </w:pPr>
            <w:r/>
            <w:r>
              <w:rPr>
                <w:rFonts w:ascii="Aptos" w:hAnsi="Aptos"/>
                <w:b/>
                <w:color w:val="FFFFFF"/>
                <w:sz w:val="15"/>
              </w:rPr>
              <w:t>Contract / example</w:t>
            </w:r>
          </w:p>
        </w:tc>
      </w:tr>
      <w:tr>
        <w:trPr>
          <w:cantSplit/>
        </w:trPr>
        <w:tc>
          <w:tcPr>
            <w:tcW w:type="dxa" w:w="1944"/>
            <w:vAlign w:val="center"/>
            <w:tcMar>
              <w:top w:w="80" w:type="dxa"/>
              <w:start w:w="100" w:type="dxa"/>
              <w:bottom w:w="80" w:type="dxa"/>
              <w:end w:w="100" w:type="dxa"/>
            </w:tcMar>
            <w:shd w:fill="F3F6F9"/>
          </w:tcPr>
          <w:p>
            <w:pPr>
              <w:spacing w:after="0" w:before="0"/>
            </w:pPr>
            <w:r/>
            <w:r>
              <w:rPr>
                <w:rFonts w:ascii="Aptos" w:hAnsi="Aptos"/>
                <w:b w:val="0"/>
                <w:sz w:val="15"/>
              </w:rPr>
              <w:t>Internal API</w:t>
            </w:r>
          </w:p>
        </w:tc>
        <w:tc>
          <w:tcPr>
            <w:tcW w:type="dxa" w:w="8280"/>
            <w:vAlign w:val="center"/>
            <w:tcMar>
              <w:top w:w="80" w:type="dxa"/>
              <w:start w:w="100" w:type="dxa"/>
              <w:bottom w:w="80" w:type="dxa"/>
              <w:end w:w="100" w:type="dxa"/>
            </w:tcMar>
            <w:shd w:fill="F3F6F9"/>
          </w:tcPr>
          <w:p>
            <w:pPr>
              <w:spacing w:after="0" w:before="0"/>
            </w:pPr>
            <w:r/>
            <w:r>
              <w:rPr>
                <w:rFonts w:ascii="Aptos" w:hAnsi="Aptos"/>
                <w:b w:val="0"/>
                <w:sz w:val="15"/>
              </w:rPr>
              <w:t>POST /internal/v1/truth-cards/build with rule results, source provenance, evidence references and confidence inputs.</w:t>
            </w:r>
          </w:p>
        </w:tc>
      </w:tr>
      <w:tr>
        <w:trPr>
          <w:cantSplit/>
        </w:trPr>
        <w:tc>
          <w:tcPr>
            <w:tcW w:type="dxa" w:w="1944"/>
            <w:vAlign w:val="center"/>
            <w:tcMar>
              <w:top w:w="80" w:type="dxa"/>
              <w:start w:w="100" w:type="dxa"/>
              <w:bottom w:w="80" w:type="dxa"/>
              <w:end w:w="100" w:type="dxa"/>
            </w:tcMar>
          </w:tcPr>
          <w:p>
            <w:pPr>
              <w:spacing w:after="0" w:before="0"/>
            </w:pPr>
            <w:r/>
            <w:r>
              <w:rPr>
                <w:rFonts w:ascii="Aptos" w:hAnsi="Aptos"/>
                <w:b w:val="0"/>
                <w:sz w:val="15"/>
              </w:rPr>
              <w:t>Response</w:t>
            </w:r>
          </w:p>
        </w:tc>
        <w:tc>
          <w:tcPr>
            <w:tcW w:type="dxa" w:w="8280"/>
            <w:vAlign w:val="center"/>
            <w:tcMar>
              <w:top w:w="80" w:type="dxa"/>
              <w:start w:w="100" w:type="dxa"/>
              <w:bottom w:w="80" w:type="dxa"/>
              <w:end w:w="100" w:type="dxa"/>
            </w:tcMar>
          </w:tcPr>
          <w:p>
            <w:pPr>
              <w:spacing w:after="0" w:before="0"/>
            </w:pPr>
            <w:r/>
            <w:r>
              <w:rPr>
                <w:rFonts w:ascii="Aptos" w:hAnsi="Aptos"/>
                <w:b w:val="0"/>
                <w:sz w:val="15"/>
              </w:rPr>
              <w:t>status, verified, reason, evidence, source, retrievedAt, ruleSetVersion, confidence, manualReviewRecommended</w:t>
            </w:r>
          </w:p>
        </w:tc>
      </w:tr>
      <w:tr>
        <w:trPr>
          <w:cantSplit/>
        </w:trPr>
        <w:tc>
          <w:tcPr>
            <w:tcW w:type="dxa" w:w="1944"/>
            <w:vAlign w:val="center"/>
            <w:tcMar>
              <w:top w:w="80" w:type="dxa"/>
              <w:start w:w="100" w:type="dxa"/>
              <w:bottom w:w="80" w:type="dxa"/>
              <w:end w:w="100" w:type="dxa"/>
            </w:tcMar>
            <w:shd w:fill="F3F6F9"/>
          </w:tcPr>
          <w:p>
            <w:pPr>
              <w:spacing w:after="0" w:before="0"/>
            </w:pPr>
            <w:r/>
            <w:r>
              <w:rPr>
                <w:rFonts w:ascii="Aptos" w:hAnsi="Aptos"/>
                <w:b w:val="0"/>
                <w:sz w:val="15"/>
              </w:rPr>
              <w:t>Events out</w:t>
            </w:r>
          </w:p>
        </w:tc>
        <w:tc>
          <w:tcPr>
            <w:tcW w:type="dxa" w:w="8280"/>
            <w:vAlign w:val="center"/>
            <w:tcMar>
              <w:top w:w="80" w:type="dxa"/>
              <w:start w:w="100" w:type="dxa"/>
              <w:bottom w:w="80" w:type="dxa"/>
              <w:end w:w="100" w:type="dxa"/>
            </w:tcMar>
            <w:shd w:fill="F3F6F9"/>
          </w:tcPr>
          <w:p>
            <w:pPr>
              <w:spacing w:after="0" w:before="0"/>
            </w:pPr>
            <w:r/>
            <w:r>
              <w:rPr>
                <w:rFonts w:ascii="Aptos" w:hAnsi="Aptos"/>
                <w:b w:val="0"/>
                <w:sz w:val="15"/>
              </w:rPr>
              <w:t>TruthCardProduced; ManualReviewRecommended (consumed by a future review workflow if implemented).</w:t>
            </w:r>
          </w:p>
        </w:tc>
      </w:tr>
    </w:tbl>
    <w:p>
      <w:pPr>
        <w:spacing w:after="20"/>
      </w:pPr>
    </w:p>
    <w:p>
      <w:pPr>
        <w:pStyle w:val="Heading2"/>
        <w:keepNext/>
      </w:pPr>
      <w:r>
        <w:t>Must not own / boundary rules</w:t>
      </w:r>
    </w:p>
    <w:p>
      <w:pPr>
        <w:pStyle w:val="ListBullet"/>
        <w:keepLines/>
        <w:spacing w:after="40"/>
      </w:pPr>
      <w:r>
        <w:t>Does not call source systems, evaluate raw SpEL expressions or authorize access.</w:t>
      </w:r>
    </w:p>
    <w:p>
      <w:pPr>
        <w:pStyle w:val="ListBullet"/>
        <w:keepLines/>
        <w:spacing w:after="40"/>
      </w:pPr>
      <w:r>
        <w:t>Does not invent confidence numbers; every score must come from a documented/calibrated matching method.</w:t>
      </w:r>
    </w:p>
    <w:p>
      <w:pPr>
        <w:pStyle w:val="ListBullet"/>
        <w:keepLines/>
        <w:spacing w:after="40"/>
      </w:pPr>
      <w:r>
        <w:t>Does not present a low-confidence match as a verified fact.</w:t>
      </w:r>
    </w:p>
    <w:p>
      <w:pPr>
        <w:pStyle w:val="Heading2"/>
        <w:keepNext/>
      </w:pPr>
      <w:r>
        <w:t>Key implementation notes</w:t>
      </w:r>
    </w:p>
    <w:p>
      <w:pPr>
        <w:pStyle w:val="ListBullet"/>
        <w:keepLines/>
        <w:spacing w:after="40"/>
      </w:pPr>
      <w:r>
        <w:t>Use explicit statuses such as PASS, FAIL, NOT_FOUND, INDETERMINATE and ERROR. Do not overload one Boolean with all these meanings.</w:t>
      </w:r>
    </w:p>
    <w:p>
      <w:pPr>
        <w:pStyle w:val="ListBullet"/>
        <w:keepLines/>
        <w:spacing w:after="40"/>
      </w:pPr>
      <w:r>
        <w:t>The source example includes status, reason and evidence; source, timestamps and confidence are recommended contract extensions.</w:t>
      </w:r>
    </w:p>
    <w:p>
      <w:pPr>
        <w:pStyle w:val="Heading1"/>
        <w:keepNext/>
      </w:pPr>
      <w:r>
        <w:t>13. Audit Management Service</w:t>
      </w:r>
    </w:p>
    <w:p>
      <w:pPr>
        <w:keepNext/>
        <w:spacing w:after="140"/>
      </w:pPr>
      <w:r>
        <w:rPr>
          <w:i/>
          <w:color w:val="4B6982"/>
          <w:sz w:val="20"/>
        </w:rPr>
        <w:t>Governance Plane | Collects, protects and forwards security and execution audit events</w:t>
      </w:r>
    </w:p>
    <w:p>
      <w:pPr>
        <w:pStyle w:val="Heading2"/>
        <w:keepNext/>
      </w:pPr>
      <w:r>
        <w:t>Purpose and bounded context</w:t>
      </w:r>
    </w:p>
    <w:p>
      <w:pPr>
        <w:spacing w:after="100"/>
      </w:pPr>
      <w:r>
        <w:t>Owns the audit ingestion and delivery capability. It consumes audit events from other services, validates their schema, applies privacy controls, provides tamper-evident retention where configured, and forwards records to the customer’s ELK/Splunk or approved audit destination.</w:t>
      </w:r>
    </w:p>
    <w:p>
      <w:pPr>
        <w:pStyle w:val="Heading2"/>
        <w:keepNext/>
      </w:pPr>
      <w:r>
        <w:t>Responsibilities</w:t>
      </w:r>
    </w:p>
    <w:p>
      <w:pPr>
        <w:pStyle w:val="ListBullet"/>
        <w:keepLines/>
        <w:spacing w:after="40"/>
      </w:pPr>
      <w:r>
        <w:t>Ingest administrative, identity, authorization, connector and tool-execution audit events.</w:t>
      </w:r>
    </w:p>
    <w:p>
      <w:pPr>
        <w:pStyle w:val="ListBullet"/>
        <w:keepLines/>
        <w:spacing w:after="40"/>
      </w:pPr>
      <w:r>
        <w:t>Validate required fields: event ID, timestamp, tenant, actor, action, tool/resource reference and result hash/status.</w:t>
      </w:r>
    </w:p>
    <w:p>
      <w:pPr>
        <w:pStyle w:val="ListBullet"/>
        <w:keepLines/>
        <w:spacing w:after="40"/>
      </w:pPr>
      <w:r>
        <w:t>Redact secrets, tokens and prohibited PII before durable storage or forwarding.</w:t>
      </w:r>
    </w:p>
    <w:p>
      <w:pPr>
        <w:pStyle w:val="ListBullet"/>
        <w:keepLines/>
        <w:spacing w:after="40"/>
      </w:pPr>
      <w:r>
        <w:t>Deduplicate events and track delivery status.</w:t>
      </w:r>
    </w:p>
    <w:p>
      <w:pPr>
        <w:pStyle w:val="ListBullet"/>
        <w:keepLines/>
        <w:spacing w:after="40"/>
      </w:pPr>
      <w:r>
        <w:t>Forward to tenant-approved logging/SIEM destinations and expose delivery/retention health.</w:t>
      </w:r>
    </w:p>
    <w:p>
      <w:pPr>
        <w:pStyle w:val="ListBullet"/>
        <w:keepLines/>
        <w:spacing w:after="40"/>
      </w:pPr>
      <w:r>
        <w:t>Support audit search/export only for authorized administrators and only over permitted metadata.</w:t>
      </w:r>
    </w:p>
    <w:p>
      <w:pPr>
        <w:pStyle w:val="Heading2"/>
        <w:keepNext/>
      </w:pPr>
      <w:r>
        <w:t>Recommended design patterns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232"/>
            <w:vAlign w:val="center"/>
            <w:tcMar>
              <w:top w:w="80" w:type="dxa"/>
              <w:start w:w="100" w:type="dxa"/>
              <w:bottom w:w="80" w:type="dxa"/>
              <w:end w:w="100" w:type="dxa"/>
            </w:tcMar>
            <w:shd w:fill="17365D"/>
          </w:tcPr>
          <w:p>
            <w:pPr>
              <w:spacing w:after="0" w:before="0"/>
            </w:pPr>
            <w:r/>
            <w:r>
              <w:rPr>
                <w:rFonts w:ascii="Aptos" w:hAnsi="Aptos"/>
                <w:b/>
                <w:color w:val="FFFFFF"/>
                <w:sz w:val="15"/>
              </w:rPr>
              <w:t>Pattern</w:t>
            </w:r>
          </w:p>
        </w:tc>
        <w:tc>
          <w:tcPr>
            <w:tcW w:type="dxa" w:w="7992"/>
            <w:vAlign w:val="center"/>
            <w:tcMar>
              <w:top w:w="80" w:type="dxa"/>
              <w:start w:w="100" w:type="dxa"/>
              <w:bottom w:w="80" w:type="dxa"/>
              <w:end w:w="100" w:type="dxa"/>
            </w:tcMar>
            <w:shd w:fill="17365D"/>
          </w:tcPr>
          <w:p>
            <w:pPr>
              <w:spacing w:after="0" w:before="0"/>
            </w:pPr>
            <w:r/>
            <w:r>
              <w:rPr>
                <w:rFonts w:ascii="Aptos" w:hAnsi="Aptos"/>
                <w:b/>
                <w:color w:val="FFFFFF"/>
                <w:sz w:val="15"/>
              </w:rPr>
              <w:t>How to apply it here</w:t>
            </w:r>
          </w:p>
        </w:tc>
      </w:tr>
      <w:tr>
        <w:trPr>
          <w:cantSplit/>
        </w:trPr>
        <w:tc>
          <w:tcPr>
            <w:tcW w:type="dxa" w:w="2232"/>
            <w:vAlign w:val="center"/>
            <w:tcMar>
              <w:top w:w="80" w:type="dxa"/>
              <w:start w:w="100" w:type="dxa"/>
              <w:bottom w:w="80" w:type="dxa"/>
              <w:end w:w="100" w:type="dxa"/>
            </w:tcMar>
            <w:shd w:fill="F3F6F9"/>
          </w:tcPr>
          <w:p>
            <w:pPr>
              <w:spacing w:after="0" w:before="0"/>
            </w:pPr>
            <w:r/>
            <w:r>
              <w:rPr>
                <w:rFonts w:ascii="Aptos" w:hAnsi="Aptos"/>
                <w:b w:val="0"/>
                <w:sz w:val="15"/>
              </w:rPr>
              <w:t>Event-Driven Consumer</w:t>
            </w:r>
          </w:p>
        </w:tc>
        <w:tc>
          <w:tcPr>
            <w:tcW w:type="dxa" w:w="7992"/>
            <w:vAlign w:val="center"/>
            <w:tcMar>
              <w:top w:w="80" w:type="dxa"/>
              <w:start w:w="100" w:type="dxa"/>
              <w:bottom w:w="80" w:type="dxa"/>
              <w:end w:w="100" w:type="dxa"/>
            </w:tcMar>
            <w:shd w:fill="F3F6F9"/>
          </w:tcPr>
          <w:p>
            <w:pPr>
              <w:spacing w:after="0" w:before="0"/>
            </w:pPr>
            <w:r/>
            <w:r>
              <w:rPr>
                <w:rFonts w:ascii="Aptos" w:hAnsi="Aptos"/>
                <w:b w:val="0"/>
                <w:sz w:val="15"/>
              </w:rPr>
              <w:t>Consume domain and execution events from the message broker rather than adding latency to the MCP response path.</w:t>
            </w:r>
          </w:p>
        </w:tc>
      </w:tr>
      <w:tr>
        <w:trPr>
          <w:cantSplit/>
        </w:trPr>
        <w:tc>
          <w:tcPr>
            <w:tcW w:type="dxa" w:w="2232"/>
            <w:vAlign w:val="center"/>
            <w:tcMar>
              <w:top w:w="80" w:type="dxa"/>
              <w:start w:w="100" w:type="dxa"/>
              <w:bottom w:w="80" w:type="dxa"/>
              <w:end w:w="100" w:type="dxa"/>
            </w:tcMar>
          </w:tcPr>
          <w:p>
            <w:pPr>
              <w:spacing w:after="0" w:before="0"/>
            </w:pPr>
            <w:r/>
            <w:r>
              <w:rPr>
                <w:rFonts w:ascii="Aptos" w:hAnsi="Aptos"/>
                <w:b w:val="0"/>
                <w:sz w:val="15"/>
              </w:rPr>
              <w:t>Transactional Outbox (producer side)</w:t>
            </w:r>
          </w:p>
        </w:tc>
        <w:tc>
          <w:tcPr>
            <w:tcW w:type="dxa" w:w="7992"/>
            <w:vAlign w:val="center"/>
            <w:tcMar>
              <w:top w:w="80" w:type="dxa"/>
              <w:start w:w="100" w:type="dxa"/>
              <w:bottom w:w="80" w:type="dxa"/>
              <w:end w:w="100" w:type="dxa"/>
            </w:tcMar>
          </w:tcPr>
          <w:p>
            <w:pPr>
              <w:spacing w:after="0" w:before="0"/>
            </w:pPr>
            <w:r/>
            <w:r>
              <w:rPr>
                <w:rFonts w:ascii="Aptos" w:hAnsi="Aptos"/>
                <w:b w:val="0"/>
                <w:sz w:val="15"/>
              </w:rPr>
              <w:t>Each producing service writes its business change and audit/domain event to its own outbox atomically; an outbox publisher sends to the broker.</w:t>
            </w:r>
          </w:p>
        </w:tc>
      </w:tr>
      <w:tr>
        <w:trPr>
          <w:cantSplit/>
        </w:trPr>
        <w:tc>
          <w:tcPr>
            <w:tcW w:type="dxa" w:w="2232"/>
            <w:vAlign w:val="center"/>
            <w:tcMar>
              <w:top w:w="80" w:type="dxa"/>
              <w:start w:w="100" w:type="dxa"/>
              <w:bottom w:w="80" w:type="dxa"/>
              <w:end w:w="100" w:type="dxa"/>
            </w:tcMar>
            <w:shd w:fill="F3F6F9"/>
          </w:tcPr>
          <w:p>
            <w:pPr>
              <w:spacing w:after="0" w:before="0"/>
            </w:pPr>
            <w:r/>
            <w:r>
              <w:rPr>
                <w:rFonts w:ascii="Aptos" w:hAnsi="Aptos"/>
                <w:b w:val="0"/>
                <w:sz w:val="15"/>
              </w:rPr>
              <w:t>Idempotent Consumer</w:t>
            </w:r>
          </w:p>
        </w:tc>
        <w:tc>
          <w:tcPr>
            <w:tcW w:type="dxa" w:w="7992"/>
            <w:vAlign w:val="center"/>
            <w:tcMar>
              <w:top w:w="80" w:type="dxa"/>
              <w:start w:w="100" w:type="dxa"/>
              <w:bottom w:w="80" w:type="dxa"/>
              <w:end w:w="100" w:type="dxa"/>
            </w:tcMar>
            <w:shd w:fill="F3F6F9"/>
          </w:tcPr>
          <w:p>
            <w:pPr>
              <w:spacing w:after="0" w:before="0"/>
            </w:pPr>
            <w:r/>
            <w:r>
              <w:rPr>
                <w:rFonts w:ascii="Aptos" w:hAnsi="Aptos"/>
                <w:b w:val="0"/>
                <w:sz w:val="15"/>
              </w:rPr>
              <w:t>Deduplicate by immutable event ID so broker redelivery does not create duplicate audit records.</w:t>
            </w:r>
          </w:p>
        </w:tc>
      </w:tr>
      <w:tr>
        <w:trPr>
          <w:cantSplit/>
        </w:trPr>
        <w:tc>
          <w:tcPr>
            <w:tcW w:type="dxa" w:w="2232"/>
            <w:vAlign w:val="center"/>
            <w:tcMar>
              <w:top w:w="80" w:type="dxa"/>
              <w:start w:w="100" w:type="dxa"/>
              <w:bottom w:w="80" w:type="dxa"/>
              <w:end w:w="100" w:type="dxa"/>
            </w:tcMar>
          </w:tcPr>
          <w:p>
            <w:pPr>
              <w:spacing w:after="0" w:before="0"/>
            </w:pPr>
            <w:r/>
            <w:r>
              <w:rPr>
                <w:rFonts w:ascii="Aptos" w:hAnsi="Aptos"/>
                <w:b w:val="0"/>
                <w:sz w:val="15"/>
              </w:rPr>
              <w:t>Append-only Log</w:t>
            </w:r>
          </w:p>
        </w:tc>
        <w:tc>
          <w:tcPr>
            <w:tcW w:type="dxa" w:w="7992"/>
            <w:vAlign w:val="center"/>
            <w:tcMar>
              <w:top w:w="80" w:type="dxa"/>
              <w:start w:w="100" w:type="dxa"/>
              <w:bottom w:w="80" w:type="dxa"/>
              <w:end w:w="100" w:type="dxa"/>
            </w:tcMar>
          </w:tcPr>
          <w:p>
            <w:pPr>
              <w:spacing w:after="0" w:before="0"/>
            </w:pPr>
            <w:r/>
            <w:r>
              <w:rPr>
                <w:rFonts w:ascii="Aptos" w:hAnsi="Aptos"/>
                <w:b w:val="0"/>
                <w:sz w:val="15"/>
              </w:rPr>
              <w:t>Treat audit records as append-only; corrections are new linked events, not destructive updates.</w:t>
            </w:r>
          </w:p>
        </w:tc>
      </w:tr>
      <w:tr>
        <w:trPr>
          <w:cantSplit/>
        </w:trPr>
        <w:tc>
          <w:tcPr>
            <w:tcW w:type="dxa" w:w="2232"/>
            <w:vAlign w:val="center"/>
            <w:tcMar>
              <w:top w:w="80" w:type="dxa"/>
              <w:start w:w="100" w:type="dxa"/>
              <w:bottom w:w="80" w:type="dxa"/>
              <w:end w:w="100" w:type="dxa"/>
            </w:tcMar>
            <w:shd w:fill="F3F6F9"/>
          </w:tcPr>
          <w:p>
            <w:pPr>
              <w:spacing w:after="0" w:before="0"/>
            </w:pPr>
            <w:r/>
            <w:r>
              <w:rPr>
                <w:rFonts w:ascii="Aptos" w:hAnsi="Aptos"/>
                <w:b w:val="0"/>
                <w:sz w:val="15"/>
              </w:rPr>
              <w:t>Dead-Letter Queue</w:t>
            </w:r>
          </w:p>
        </w:tc>
        <w:tc>
          <w:tcPr>
            <w:tcW w:type="dxa" w:w="7992"/>
            <w:vAlign w:val="center"/>
            <w:tcMar>
              <w:top w:w="80" w:type="dxa"/>
              <w:start w:w="100" w:type="dxa"/>
              <w:bottom w:w="80" w:type="dxa"/>
              <w:end w:w="100" w:type="dxa"/>
            </w:tcMar>
            <w:shd w:fill="F3F6F9"/>
          </w:tcPr>
          <w:p>
            <w:pPr>
              <w:spacing w:after="0" w:before="0"/>
            </w:pPr>
            <w:r/>
            <w:r>
              <w:rPr>
                <w:rFonts w:ascii="Aptos" w:hAnsi="Aptos"/>
                <w:b w:val="0"/>
                <w:sz w:val="15"/>
              </w:rPr>
              <w:t>Isolate malformed or repeatedly undeliverable events for controlled investigation and replay.</w:t>
            </w:r>
          </w:p>
        </w:tc>
      </w:tr>
    </w:tbl>
    <w:p>
      <w:pPr>
        <w:spacing w:after="20"/>
      </w:pPr>
    </w:p>
    <w:p>
      <w:pPr>
        <w:pStyle w:val="Heading2"/>
        <w:keepNext/>
      </w:pPr>
      <w:r>
        <w:t>Data ownership</w:t>
      </w:r>
    </w:p>
    <w:p>
      <w:pPr>
        <w:spacing w:after="100"/>
      </w:pPr>
      <w:r>
        <w:t>Own audit_store or tenant-configured append-only destination metadata, plus delivery checkpoints. Prefer forwarding to customer-owned ELK/Splunk as required by the security specification. Retain minimum metadata; never store access tokens, secrets or raw sensitive customer payloads.</w:t>
      </w:r>
    </w:p>
    <w:p>
      <w:pPr>
        <w:pStyle w:val="Heading2"/>
        <w:keepNext/>
      </w:pPr>
      <w:r>
        <w:t>Representative interface</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1944"/>
            <w:vAlign w:val="center"/>
            <w:tcMar>
              <w:top w:w="80" w:type="dxa"/>
              <w:start w:w="100" w:type="dxa"/>
              <w:bottom w:w="80" w:type="dxa"/>
              <w:end w:w="100" w:type="dxa"/>
            </w:tcMar>
            <w:shd w:fill="17365D"/>
          </w:tcPr>
          <w:p>
            <w:pPr>
              <w:spacing w:after="0" w:before="0"/>
            </w:pPr>
            <w:r/>
            <w:r>
              <w:rPr>
                <w:rFonts w:ascii="Aptos" w:hAnsi="Aptos"/>
                <w:b/>
                <w:color w:val="FFFFFF"/>
                <w:sz w:val="15"/>
              </w:rPr>
              <w:t>Type</w:t>
            </w:r>
          </w:p>
        </w:tc>
        <w:tc>
          <w:tcPr>
            <w:tcW w:type="dxa" w:w="8280"/>
            <w:vAlign w:val="center"/>
            <w:tcMar>
              <w:top w:w="80" w:type="dxa"/>
              <w:start w:w="100" w:type="dxa"/>
              <w:bottom w:w="80" w:type="dxa"/>
              <w:end w:w="100" w:type="dxa"/>
            </w:tcMar>
            <w:shd w:fill="17365D"/>
          </w:tcPr>
          <w:p>
            <w:pPr>
              <w:spacing w:after="0" w:before="0"/>
            </w:pPr>
            <w:r/>
            <w:r>
              <w:rPr>
                <w:rFonts w:ascii="Aptos" w:hAnsi="Aptos"/>
                <w:b/>
                <w:color w:val="FFFFFF"/>
                <w:sz w:val="15"/>
              </w:rPr>
              <w:t>Contract / example</w:t>
            </w:r>
          </w:p>
        </w:tc>
      </w:tr>
      <w:tr>
        <w:trPr>
          <w:cantSplit/>
        </w:trPr>
        <w:tc>
          <w:tcPr>
            <w:tcW w:type="dxa" w:w="1944"/>
            <w:vAlign w:val="center"/>
            <w:tcMar>
              <w:top w:w="80" w:type="dxa"/>
              <w:start w:w="100" w:type="dxa"/>
              <w:bottom w:w="80" w:type="dxa"/>
              <w:end w:w="100" w:type="dxa"/>
            </w:tcMar>
            <w:shd w:fill="F3F6F9"/>
          </w:tcPr>
          <w:p>
            <w:pPr>
              <w:spacing w:after="0" w:before="0"/>
            </w:pPr>
            <w:r/>
            <w:r>
              <w:rPr>
                <w:rFonts w:ascii="Aptos" w:hAnsi="Aptos"/>
                <w:b w:val="0"/>
                <w:sz w:val="15"/>
              </w:rPr>
              <w:t>Events in</w:t>
            </w:r>
          </w:p>
        </w:tc>
        <w:tc>
          <w:tcPr>
            <w:tcW w:type="dxa" w:w="8280"/>
            <w:vAlign w:val="center"/>
            <w:tcMar>
              <w:top w:w="80" w:type="dxa"/>
              <w:start w:w="100" w:type="dxa"/>
              <w:bottom w:w="80" w:type="dxa"/>
              <w:end w:w="100" w:type="dxa"/>
            </w:tcMar>
            <w:shd w:fill="F3F6F9"/>
          </w:tcPr>
          <w:p>
            <w:pPr>
              <w:spacing w:after="0" w:before="0"/>
            </w:pPr>
            <w:r/>
            <w:r>
              <w:rPr>
                <w:rFonts w:ascii="Aptos" w:hAnsi="Aptos"/>
                <w:b w:val="0"/>
                <w:sz w:val="15"/>
              </w:rPr>
              <w:t>AdminActionRecorded, UserAccessChanged, PolicyDecisionRecorded, ToolExecutionCompleted/Failed, ConnectorCallFailed, BlueprintPublished and other versioned audit events.</w:t>
            </w:r>
          </w:p>
        </w:tc>
      </w:tr>
      <w:tr>
        <w:trPr>
          <w:cantSplit/>
        </w:trPr>
        <w:tc>
          <w:tcPr>
            <w:tcW w:type="dxa" w:w="1944"/>
            <w:vAlign w:val="center"/>
            <w:tcMar>
              <w:top w:w="80" w:type="dxa"/>
              <w:start w:w="100" w:type="dxa"/>
              <w:bottom w:w="80" w:type="dxa"/>
              <w:end w:w="100" w:type="dxa"/>
            </w:tcMar>
          </w:tcPr>
          <w:p>
            <w:pPr>
              <w:spacing w:after="0" w:before="0"/>
            </w:pPr>
            <w:r/>
            <w:r>
              <w:rPr>
                <w:rFonts w:ascii="Aptos" w:hAnsi="Aptos"/>
                <w:b w:val="0"/>
                <w:sz w:val="15"/>
              </w:rPr>
              <w:t>REST</w:t>
            </w:r>
          </w:p>
        </w:tc>
        <w:tc>
          <w:tcPr>
            <w:tcW w:type="dxa" w:w="8280"/>
            <w:vAlign w:val="center"/>
            <w:tcMar>
              <w:top w:w="80" w:type="dxa"/>
              <w:start w:w="100" w:type="dxa"/>
              <w:bottom w:w="80" w:type="dxa"/>
              <w:end w:w="100" w:type="dxa"/>
            </w:tcMar>
          </w:tcPr>
          <w:p>
            <w:pPr>
              <w:spacing w:after="0" w:before="0"/>
            </w:pPr>
            <w:r/>
            <w:r>
              <w:rPr>
                <w:rFonts w:ascii="Aptos" w:hAnsi="Aptos"/>
                <w:b w:val="0"/>
                <w:sz w:val="15"/>
              </w:rPr>
              <w:t>GET /v1/audit/events (authorized metadata search); GET /v1/audit/delivery-status; POST /v1/audit/replay (restricted operations only).</w:t>
            </w:r>
          </w:p>
        </w:tc>
      </w:tr>
      <w:tr>
        <w:trPr>
          <w:cantSplit/>
        </w:trPr>
        <w:tc>
          <w:tcPr>
            <w:tcW w:type="dxa" w:w="1944"/>
            <w:vAlign w:val="center"/>
            <w:tcMar>
              <w:top w:w="80" w:type="dxa"/>
              <w:start w:w="100" w:type="dxa"/>
              <w:bottom w:w="80" w:type="dxa"/>
              <w:end w:w="100" w:type="dxa"/>
            </w:tcMar>
            <w:shd w:fill="F3F6F9"/>
          </w:tcPr>
          <w:p>
            <w:pPr>
              <w:spacing w:after="0" w:before="0"/>
            </w:pPr>
            <w:r/>
            <w:r>
              <w:rPr>
                <w:rFonts w:ascii="Aptos" w:hAnsi="Aptos"/>
                <w:b w:val="0"/>
                <w:sz w:val="15"/>
              </w:rPr>
              <w:t>Events out</w:t>
            </w:r>
          </w:p>
        </w:tc>
        <w:tc>
          <w:tcPr>
            <w:tcW w:type="dxa" w:w="8280"/>
            <w:vAlign w:val="center"/>
            <w:tcMar>
              <w:top w:w="80" w:type="dxa"/>
              <w:start w:w="100" w:type="dxa"/>
              <w:bottom w:w="80" w:type="dxa"/>
              <w:end w:w="100" w:type="dxa"/>
            </w:tcMar>
            <w:shd w:fill="F3F6F9"/>
          </w:tcPr>
          <w:p>
            <w:pPr>
              <w:spacing w:after="0" w:before="0"/>
            </w:pPr>
            <w:r/>
            <w:r>
              <w:rPr>
                <w:rFonts w:ascii="Aptos" w:hAnsi="Aptos"/>
                <w:b w:val="0"/>
                <w:sz w:val="15"/>
              </w:rPr>
              <w:t>AuditDeliveryFailed, AuditRetentionWarning, AuditEventRejected</w:t>
            </w:r>
          </w:p>
        </w:tc>
      </w:tr>
    </w:tbl>
    <w:p>
      <w:pPr>
        <w:spacing w:after="20"/>
      </w:pPr>
    </w:p>
    <w:p>
      <w:pPr>
        <w:pStyle w:val="Heading2"/>
        <w:keepNext/>
      </w:pPr>
      <w:r>
        <w:t>Must not own / boundary rules</w:t>
      </w:r>
    </w:p>
    <w:p>
      <w:pPr>
        <w:pStyle w:val="ListBullet"/>
        <w:keepLines/>
        <w:spacing w:after="40"/>
      </w:pPr>
      <w:r>
        <w:t>Does not own the source business transaction or become the event source of truth for other services.</w:t>
      </w:r>
    </w:p>
    <w:p>
      <w:pPr>
        <w:pStyle w:val="ListBullet"/>
        <w:keepLines/>
        <w:spacing w:after="40"/>
      </w:pPr>
      <w:r>
        <w:t>Does not implement full event sourcing for the whole platform. Audit log and event sourcing are different patterns.</w:t>
      </w:r>
    </w:p>
    <w:p>
      <w:pPr>
        <w:pStyle w:val="ListBullet"/>
        <w:keepLines/>
        <w:spacing w:after="40"/>
      </w:pPr>
      <w:r>
        <w:t>Does not log raw payloads by default; store hashes/references and approved metadata only.</w:t>
      </w:r>
    </w:p>
    <w:p>
      <w:pPr>
        <w:pStyle w:val="Heading2"/>
        <w:keepNext/>
      </w:pPr>
      <w:r>
        <w:t>Key implementation notes</w:t>
      </w:r>
    </w:p>
    <w:p>
      <w:pPr>
        <w:pStyle w:val="ListBullet"/>
        <w:keepLines/>
        <w:spacing w:after="40"/>
      </w:pPr>
      <w:r>
        <w:t>The source security document calls for immutable audit records and streaming to customer ELK/Splunk; implement tamper resistance through append-only permissions, retention lock or hash chaining where required by the customer.</w:t>
      </w:r>
    </w:p>
    <w:p>
      <w:pPr>
        <w:pStyle w:val="ListBullet"/>
        <w:keepLines/>
        <w:spacing w:after="40"/>
      </w:pPr>
      <w:r>
        <w:t>Define a common audit event schema and privacy classification before enabling event production across services.</w:t>
      </w:r>
    </w:p>
    <w:p>
      <w:pPr>
        <w:pStyle w:val="Heading1"/>
        <w:keepNext/>
      </w:pPr>
      <w:r>
        <w:t>14. Integration Health Service</w:t>
      </w:r>
    </w:p>
    <w:p>
      <w:pPr>
        <w:keepNext/>
        <w:spacing w:after="140"/>
      </w:pPr>
      <w:r>
        <w:rPr>
          <w:i/>
          <w:color w:val="4B6982"/>
          <w:sz w:val="20"/>
        </w:rPr>
        <w:t>Operations Plane | Performs scheduled probes and manages connector health state</w:t>
      </w:r>
    </w:p>
    <w:p>
      <w:pPr>
        <w:pStyle w:val="Heading2"/>
        <w:keepNext/>
      </w:pPr>
      <w:r>
        <w:t>Purpose and bounded context</w:t>
      </w:r>
    </w:p>
    <w:p>
      <w:pPr>
        <w:spacing w:after="100"/>
      </w:pPr>
      <w:r>
        <w:t>Owns business-level health monitoring for configured customer connectors and endpoints. It performs heartbeat probes, interprets health signals and exposes an operational view to the Admin Portal. It complements, rather than replaces, infrastructure metrics and dashboards.</w:t>
      </w:r>
    </w:p>
    <w:p>
      <w:pPr>
        <w:pStyle w:val="Heading2"/>
        <w:keepNext/>
      </w:pPr>
      <w:r>
        <w:t>Responsibilities</w:t>
      </w:r>
    </w:p>
    <w:p>
      <w:pPr>
        <w:pStyle w:val="ListBullet"/>
        <w:keepLines/>
        <w:spacing w:after="40"/>
      </w:pPr>
      <w:r>
        <w:t>Schedule heartbeat probes (the supplied blueprint specifies a 60-second interval).</w:t>
      </w:r>
    </w:p>
    <w:p>
      <w:pPr>
        <w:pStyle w:val="ListBullet"/>
        <w:keepLines/>
        <w:spacing w:after="40"/>
      </w:pPr>
      <w:r>
        <w:t>Execute lightweight approved health checks for REST, SQL, GraphQL and proxy connectors.</w:t>
      </w:r>
    </w:p>
    <w:p>
      <w:pPr>
        <w:pStyle w:val="ListBullet"/>
        <w:keepLines/>
        <w:spacing w:after="40"/>
      </w:pPr>
      <w:r>
        <w:t>Track endpoint states, latency, error rates and last successful probe.</w:t>
      </w:r>
    </w:p>
    <w:p>
      <w:pPr>
        <w:pStyle w:val="ListBullet"/>
        <w:keepLines/>
        <w:spacing w:after="40"/>
      </w:pPr>
      <w:r>
        <w:t>Classify health as HEALTHY, DEGRADED, UNAVAILABLE or UNKNOWN.</w:t>
      </w:r>
    </w:p>
    <w:p>
      <w:pPr>
        <w:pStyle w:val="ListBullet"/>
        <w:keepLines/>
        <w:spacing w:after="40"/>
      </w:pPr>
      <w:r>
        <w:t>Publish ConnectorHealthChanged events and expose tenant-scoped dashboard APIs.</w:t>
      </w:r>
    </w:p>
    <w:p>
      <w:pPr>
        <w:pStyle w:val="Heading2"/>
        <w:keepNext/>
      </w:pPr>
      <w:r>
        <w:t>Recommended design patterns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232"/>
            <w:vAlign w:val="center"/>
            <w:tcMar>
              <w:top w:w="80" w:type="dxa"/>
              <w:start w:w="100" w:type="dxa"/>
              <w:bottom w:w="80" w:type="dxa"/>
              <w:end w:w="100" w:type="dxa"/>
            </w:tcMar>
            <w:shd w:fill="17365D"/>
          </w:tcPr>
          <w:p>
            <w:pPr>
              <w:spacing w:after="0" w:before="0"/>
            </w:pPr>
            <w:r/>
            <w:r>
              <w:rPr>
                <w:rFonts w:ascii="Aptos" w:hAnsi="Aptos"/>
                <w:b/>
                <w:color w:val="FFFFFF"/>
                <w:sz w:val="15"/>
              </w:rPr>
              <w:t>Pattern</w:t>
            </w:r>
          </w:p>
        </w:tc>
        <w:tc>
          <w:tcPr>
            <w:tcW w:type="dxa" w:w="7992"/>
            <w:vAlign w:val="center"/>
            <w:tcMar>
              <w:top w:w="80" w:type="dxa"/>
              <w:start w:w="100" w:type="dxa"/>
              <w:bottom w:w="80" w:type="dxa"/>
              <w:end w:w="100" w:type="dxa"/>
            </w:tcMar>
            <w:shd w:fill="17365D"/>
          </w:tcPr>
          <w:p>
            <w:pPr>
              <w:spacing w:after="0" w:before="0"/>
            </w:pPr>
            <w:r/>
            <w:r>
              <w:rPr>
                <w:rFonts w:ascii="Aptos" w:hAnsi="Aptos"/>
                <w:b/>
                <w:color w:val="FFFFFF"/>
                <w:sz w:val="15"/>
              </w:rPr>
              <w:t>How to apply it here</w:t>
            </w:r>
          </w:p>
        </w:tc>
      </w:tr>
      <w:tr>
        <w:trPr>
          <w:cantSplit/>
        </w:trPr>
        <w:tc>
          <w:tcPr>
            <w:tcW w:type="dxa" w:w="2232"/>
            <w:vAlign w:val="center"/>
            <w:tcMar>
              <w:top w:w="80" w:type="dxa"/>
              <w:start w:w="100" w:type="dxa"/>
              <w:bottom w:w="80" w:type="dxa"/>
              <w:end w:w="100" w:type="dxa"/>
            </w:tcMar>
            <w:shd w:fill="F3F6F9"/>
          </w:tcPr>
          <w:p>
            <w:pPr>
              <w:spacing w:after="0" w:before="0"/>
            </w:pPr>
            <w:r/>
            <w:r>
              <w:rPr>
                <w:rFonts w:ascii="Aptos" w:hAnsi="Aptos"/>
                <w:b w:val="0"/>
                <w:sz w:val="15"/>
              </w:rPr>
              <w:t>Scheduler / Command</w:t>
            </w:r>
          </w:p>
        </w:tc>
        <w:tc>
          <w:tcPr>
            <w:tcW w:type="dxa" w:w="7992"/>
            <w:vAlign w:val="center"/>
            <w:tcMar>
              <w:top w:w="80" w:type="dxa"/>
              <w:start w:w="100" w:type="dxa"/>
              <w:bottom w:w="80" w:type="dxa"/>
              <w:end w:w="100" w:type="dxa"/>
            </w:tcMar>
            <w:shd w:fill="F3F6F9"/>
          </w:tcPr>
          <w:p>
            <w:pPr>
              <w:spacing w:after="0" w:before="0"/>
            </w:pPr>
            <w:r/>
            <w:r>
              <w:rPr>
                <w:rFonts w:ascii="Aptos" w:hAnsi="Aptos"/>
                <w:b w:val="0"/>
                <w:sz w:val="15"/>
              </w:rPr>
              <w:t>Create probe commands on a schedule; each probe is independently executable and traceable.</w:t>
            </w:r>
          </w:p>
        </w:tc>
      </w:tr>
      <w:tr>
        <w:trPr>
          <w:cantSplit/>
        </w:trPr>
        <w:tc>
          <w:tcPr>
            <w:tcW w:type="dxa" w:w="2232"/>
            <w:vAlign w:val="center"/>
            <w:tcMar>
              <w:top w:w="80" w:type="dxa"/>
              <w:start w:w="100" w:type="dxa"/>
              <w:bottom w:w="80" w:type="dxa"/>
              <w:end w:w="100" w:type="dxa"/>
            </w:tcMar>
          </w:tcPr>
          <w:p>
            <w:pPr>
              <w:spacing w:after="0" w:before="0"/>
            </w:pPr>
            <w:r/>
            <w:r>
              <w:rPr>
                <w:rFonts w:ascii="Aptos" w:hAnsi="Aptos"/>
                <w:b w:val="0"/>
                <w:sz w:val="15"/>
              </w:rPr>
              <w:t>Strategy</w:t>
            </w:r>
          </w:p>
        </w:tc>
        <w:tc>
          <w:tcPr>
            <w:tcW w:type="dxa" w:w="7992"/>
            <w:vAlign w:val="center"/>
            <w:tcMar>
              <w:top w:w="80" w:type="dxa"/>
              <w:start w:w="100" w:type="dxa"/>
              <w:bottom w:w="80" w:type="dxa"/>
              <w:end w:w="100" w:type="dxa"/>
            </w:tcMar>
          </w:tcPr>
          <w:p>
            <w:pPr>
              <w:spacing w:after="0" w:before="0"/>
            </w:pPr>
            <w:r/>
            <w:r>
              <w:rPr>
                <w:rFonts w:ascii="Aptos" w:hAnsi="Aptos"/>
                <w:b w:val="0"/>
                <w:sz w:val="15"/>
              </w:rPr>
              <w:t>Choose a probe implementation by connector type (HTTP health route, read-only SQL probe, GraphQL health query, proxy ping).</w:t>
            </w:r>
          </w:p>
        </w:tc>
      </w:tr>
      <w:tr>
        <w:trPr>
          <w:cantSplit/>
        </w:trPr>
        <w:tc>
          <w:tcPr>
            <w:tcW w:type="dxa" w:w="2232"/>
            <w:vAlign w:val="center"/>
            <w:tcMar>
              <w:top w:w="80" w:type="dxa"/>
              <w:start w:w="100" w:type="dxa"/>
              <w:bottom w:w="80" w:type="dxa"/>
              <w:end w:w="100" w:type="dxa"/>
            </w:tcMar>
            <w:shd w:fill="F3F6F9"/>
          </w:tcPr>
          <w:p>
            <w:pPr>
              <w:spacing w:after="0" w:before="0"/>
            </w:pPr>
            <w:r/>
            <w:r>
              <w:rPr>
                <w:rFonts w:ascii="Aptos" w:hAnsi="Aptos"/>
                <w:b w:val="0"/>
                <w:sz w:val="15"/>
              </w:rPr>
              <w:t>State</w:t>
            </w:r>
          </w:p>
        </w:tc>
        <w:tc>
          <w:tcPr>
            <w:tcW w:type="dxa" w:w="7992"/>
            <w:vAlign w:val="center"/>
            <w:tcMar>
              <w:top w:w="80" w:type="dxa"/>
              <w:start w:w="100" w:type="dxa"/>
              <w:bottom w:w="80" w:type="dxa"/>
              <w:end w:w="100" w:type="dxa"/>
            </w:tcMar>
            <w:shd w:fill="F3F6F9"/>
          </w:tcPr>
          <w:p>
            <w:pPr>
              <w:spacing w:after="0" w:before="0"/>
            </w:pPr>
            <w:r/>
            <w:r>
              <w:rPr>
                <w:rFonts w:ascii="Aptos" w:hAnsi="Aptos"/>
                <w:b w:val="0"/>
                <w:sz w:val="15"/>
              </w:rPr>
              <w:t>Model transitions between HEALTHY, DEGRADED, UNAVAILABLE and UNKNOWN with explicit thresholds and hysteresis.</w:t>
            </w:r>
          </w:p>
        </w:tc>
      </w:tr>
      <w:tr>
        <w:trPr>
          <w:cantSplit/>
        </w:trPr>
        <w:tc>
          <w:tcPr>
            <w:tcW w:type="dxa" w:w="2232"/>
            <w:vAlign w:val="center"/>
            <w:tcMar>
              <w:top w:w="80" w:type="dxa"/>
              <w:start w:w="100" w:type="dxa"/>
              <w:bottom w:w="80" w:type="dxa"/>
              <w:end w:w="100" w:type="dxa"/>
            </w:tcMar>
          </w:tcPr>
          <w:p>
            <w:pPr>
              <w:spacing w:after="0" w:before="0"/>
            </w:pPr>
            <w:r/>
            <w:r>
              <w:rPr>
                <w:rFonts w:ascii="Aptos" w:hAnsi="Aptos"/>
                <w:b w:val="0"/>
                <w:sz w:val="15"/>
              </w:rPr>
              <w:t>Observer / Pub-Sub</w:t>
            </w:r>
          </w:p>
        </w:tc>
        <w:tc>
          <w:tcPr>
            <w:tcW w:type="dxa" w:w="7992"/>
            <w:vAlign w:val="center"/>
            <w:tcMar>
              <w:top w:w="80" w:type="dxa"/>
              <w:start w:w="100" w:type="dxa"/>
              <w:bottom w:w="80" w:type="dxa"/>
              <w:end w:w="100" w:type="dxa"/>
            </w:tcMar>
          </w:tcPr>
          <w:p>
            <w:pPr>
              <w:spacing w:after="0" w:before="0"/>
            </w:pPr>
            <w:r/>
            <w:r>
              <w:rPr>
                <w:rFonts w:ascii="Aptos" w:hAnsi="Aptos"/>
                <w:b w:val="0"/>
                <w:sz w:val="15"/>
              </w:rPr>
              <w:t>Publish health-state changes to the dashboard and operational event consumers.</w:t>
            </w:r>
          </w:p>
        </w:tc>
      </w:tr>
      <w:tr>
        <w:trPr>
          <w:cantSplit/>
        </w:trPr>
        <w:tc>
          <w:tcPr>
            <w:tcW w:type="dxa" w:w="2232"/>
            <w:vAlign w:val="center"/>
            <w:tcMar>
              <w:top w:w="80" w:type="dxa"/>
              <w:start w:w="100" w:type="dxa"/>
              <w:bottom w:w="80" w:type="dxa"/>
              <w:end w:w="100" w:type="dxa"/>
            </w:tcMar>
            <w:shd w:fill="F3F6F9"/>
          </w:tcPr>
          <w:p>
            <w:pPr>
              <w:spacing w:after="0" w:before="0"/>
            </w:pPr>
            <w:r/>
            <w:r>
              <w:rPr>
                <w:rFonts w:ascii="Aptos" w:hAnsi="Aptos"/>
                <w:b w:val="0"/>
                <w:sz w:val="15"/>
              </w:rPr>
              <w:t>Bulkhead</w:t>
            </w:r>
          </w:p>
        </w:tc>
        <w:tc>
          <w:tcPr>
            <w:tcW w:type="dxa" w:w="7992"/>
            <w:vAlign w:val="center"/>
            <w:tcMar>
              <w:top w:w="80" w:type="dxa"/>
              <w:start w:w="100" w:type="dxa"/>
              <w:bottom w:w="80" w:type="dxa"/>
              <w:end w:w="100" w:type="dxa"/>
            </w:tcMar>
            <w:shd w:fill="F3F6F9"/>
          </w:tcPr>
          <w:p>
            <w:pPr>
              <w:spacing w:after="0" w:before="0"/>
            </w:pPr>
            <w:r/>
            <w:r>
              <w:rPr>
                <w:rFonts w:ascii="Aptos" w:hAnsi="Aptos"/>
                <w:b w:val="0"/>
                <w:sz w:val="15"/>
              </w:rPr>
              <w:t>Limit concurrent probes per tenant/connector so one unhealthy customer system cannot exhaust probe capacity.</w:t>
            </w:r>
          </w:p>
        </w:tc>
      </w:tr>
    </w:tbl>
    <w:p>
      <w:pPr>
        <w:spacing w:after="20"/>
      </w:pPr>
    </w:p>
    <w:p>
      <w:pPr>
        <w:pStyle w:val="Heading2"/>
        <w:keepNext/>
      </w:pPr>
      <w:r>
        <w:t>Data ownership</w:t>
      </w:r>
    </w:p>
    <w:p>
      <w:pPr>
        <w:spacing w:after="100"/>
      </w:pPr>
      <w:r>
        <w:t>Own database: integration_health_db. Suggested tables: probe_definitions, probe_runs, connector_health_current, health_state_transitions. Store health metadata and timing, not customer payloads or credentials.</w:t>
      </w:r>
    </w:p>
    <w:p>
      <w:pPr>
        <w:pStyle w:val="Heading2"/>
        <w:keepNext/>
      </w:pPr>
      <w:r>
        <w:t>Representative interface</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1944"/>
            <w:vAlign w:val="center"/>
            <w:tcMar>
              <w:top w:w="80" w:type="dxa"/>
              <w:start w:w="100" w:type="dxa"/>
              <w:bottom w:w="80" w:type="dxa"/>
              <w:end w:w="100" w:type="dxa"/>
            </w:tcMar>
            <w:shd w:fill="17365D"/>
          </w:tcPr>
          <w:p>
            <w:pPr>
              <w:spacing w:after="0" w:before="0"/>
            </w:pPr>
            <w:r/>
            <w:r>
              <w:rPr>
                <w:rFonts w:ascii="Aptos" w:hAnsi="Aptos"/>
                <w:b/>
                <w:color w:val="FFFFFF"/>
                <w:sz w:val="15"/>
              </w:rPr>
              <w:t>Type</w:t>
            </w:r>
          </w:p>
        </w:tc>
        <w:tc>
          <w:tcPr>
            <w:tcW w:type="dxa" w:w="8280"/>
            <w:vAlign w:val="center"/>
            <w:tcMar>
              <w:top w:w="80" w:type="dxa"/>
              <w:start w:w="100" w:type="dxa"/>
              <w:bottom w:w="80" w:type="dxa"/>
              <w:end w:w="100" w:type="dxa"/>
            </w:tcMar>
            <w:shd w:fill="17365D"/>
          </w:tcPr>
          <w:p>
            <w:pPr>
              <w:spacing w:after="0" w:before="0"/>
            </w:pPr>
            <w:r/>
            <w:r>
              <w:rPr>
                <w:rFonts w:ascii="Aptos" w:hAnsi="Aptos"/>
                <w:b/>
                <w:color w:val="FFFFFF"/>
                <w:sz w:val="15"/>
              </w:rPr>
              <w:t>Contract / example</w:t>
            </w:r>
          </w:p>
        </w:tc>
      </w:tr>
      <w:tr>
        <w:trPr>
          <w:cantSplit/>
        </w:trPr>
        <w:tc>
          <w:tcPr>
            <w:tcW w:type="dxa" w:w="1944"/>
            <w:vAlign w:val="center"/>
            <w:tcMar>
              <w:top w:w="80" w:type="dxa"/>
              <w:start w:w="100" w:type="dxa"/>
              <w:bottom w:w="80" w:type="dxa"/>
              <w:end w:w="100" w:type="dxa"/>
            </w:tcMar>
            <w:shd w:fill="F3F6F9"/>
          </w:tcPr>
          <w:p>
            <w:pPr>
              <w:spacing w:after="0" w:before="0"/>
            </w:pPr>
            <w:r/>
            <w:r>
              <w:rPr>
                <w:rFonts w:ascii="Aptos" w:hAnsi="Aptos"/>
                <w:b w:val="0"/>
                <w:sz w:val="15"/>
              </w:rPr>
              <w:t>REST</w:t>
            </w:r>
          </w:p>
        </w:tc>
        <w:tc>
          <w:tcPr>
            <w:tcW w:type="dxa" w:w="8280"/>
            <w:vAlign w:val="center"/>
            <w:tcMar>
              <w:top w:w="80" w:type="dxa"/>
              <w:start w:w="100" w:type="dxa"/>
              <w:bottom w:w="80" w:type="dxa"/>
              <w:end w:w="100" w:type="dxa"/>
            </w:tcMar>
            <w:shd w:fill="F3F6F9"/>
          </w:tcPr>
          <w:p>
            <w:pPr>
              <w:spacing w:after="0" w:before="0"/>
            </w:pPr>
            <w:r/>
            <w:r>
              <w:rPr>
                <w:rFonts w:ascii="Aptos" w:hAnsi="Aptos"/>
                <w:b w:val="0"/>
                <w:sz w:val="15"/>
              </w:rPr>
              <w:t>GET /v1/tenants/{tenantId}/connectors/health; GET /v1/connectors/{connectorId}/health-history; POST /v1/connectors/{connectorId}/probe</w:t>
            </w:r>
          </w:p>
        </w:tc>
      </w:tr>
      <w:tr>
        <w:trPr>
          <w:cantSplit/>
        </w:trPr>
        <w:tc>
          <w:tcPr>
            <w:tcW w:type="dxa" w:w="1944"/>
            <w:vAlign w:val="center"/>
            <w:tcMar>
              <w:top w:w="80" w:type="dxa"/>
              <w:start w:w="100" w:type="dxa"/>
              <w:bottom w:w="80" w:type="dxa"/>
              <w:end w:w="100" w:type="dxa"/>
            </w:tcMar>
          </w:tcPr>
          <w:p>
            <w:pPr>
              <w:spacing w:after="0" w:before="0"/>
            </w:pPr>
            <w:r/>
            <w:r>
              <w:rPr>
                <w:rFonts w:ascii="Aptos" w:hAnsi="Aptos"/>
                <w:b w:val="0"/>
                <w:sz w:val="15"/>
              </w:rPr>
              <w:t>Events out</w:t>
            </w:r>
          </w:p>
        </w:tc>
        <w:tc>
          <w:tcPr>
            <w:tcW w:type="dxa" w:w="8280"/>
            <w:vAlign w:val="center"/>
            <w:tcMar>
              <w:top w:w="80" w:type="dxa"/>
              <w:start w:w="100" w:type="dxa"/>
              <w:bottom w:w="80" w:type="dxa"/>
              <w:end w:w="100" w:type="dxa"/>
            </w:tcMar>
          </w:tcPr>
          <w:p>
            <w:pPr>
              <w:spacing w:after="0" w:before="0"/>
            </w:pPr>
            <w:r/>
            <w:r>
              <w:rPr>
                <w:rFonts w:ascii="Aptos" w:hAnsi="Aptos"/>
                <w:b w:val="0"/>
                <w:sz w:val="15"/>
              </w:rPr>
              <w:t>ConnectorHealthChanged, ConnectorProbeFailed, ConnectorRecovered</w:t>
            </w:r>
          </w:p>
        </w:tc>
      </w:tr>
      <w:tr>
        <w:trPr>
          <w:cantSplit/>
        </w:trPr>
        <w:tc>
          <w:tcPr>
            <w:tcW w:type="dxa" w:w="1944"/>
            <w:vAlign w:val="center"/>
            <w:tcMar>
              <w:top w:w="80" w:type="dxa"/>
              <w:start w:w="100" w:type="dxa"/>
              <w:bottom w:w="80" w:type="dxa"/>
              <w:end w:w="100" w:type="dxa"/>
            </w:tcMar>
            <w:shd w:fill="F3F6F9"/>
          </w:tcPr>
          <w:p>
            <w:pPr>
              <w:spacing w:after="0" w:before="0"/>
            </w:pPr>
            <w:r/>
            <w:r>
              <w:rPr>
                <w:rFonts w:ascii="Aptos" w:hAnsi="Aptos"/>
                <w:b w:val="0"/>
                <w:sz w:val="15"/>
              </w:rPr>
              <w:t>Metrics</w:t>
            </w:r>
          </w:p>
        </w:tc>
        <w:tc>
          <w:tcPr>
            <w:tcW w:type="dxa" w:w="8280"/>
            <w:vAlign w:val="center"/>
            <w:tcMar>
              <w:top w:w="80" w:type="dxa"/>
              <w:start w:w="100" w:type="dxa"/>
              <w:bottom w:w="80" w:type="dxa"/>
              <w:end w:w="100" w:type="dxa"/>
            </w:tcMar>
            <w:shd w:fill="F3F6F9"/>
          </w:tcPr>
          <w:p>
            <w:pPr>
              <w:spacing w:after="0" w:before="0"/>
            </w:pPr>
            <w:r/>
            <w:r>
              <w:rPr>
                <w:rFonts w:ascii="Aptos" w:hAnsi="Aptos"/>
                <w:b w:val="0"/>
                <w:sz w:val="15"/>
              </w:rPr>
              <w:t>Export probe duration, failure count, state and queue depth to Prometheus; Grafana remains a platform visualization component.</w:t>
            </w:r>
          </w:p>
        </w:tc>
      </w:tr>
    </w:tbl>
    <w:p>
      <w:pPr>
        <w:spacing w:after="20"/>
      </w:pPr>
    </w:p>
    <w:p>
      <w:pPr>
        <w:pStyle w:val="Heading2"/>
        <w:keepNext/>
      </w:pPr>
      <w:r>
        <w:t>Must not own / boundary rules</w:t>
      </w:r>
    </w:p>
    <w:p>
      <w:pPr>
        <w:pStyle w:val="ListBullet"/>
        <w:keepLines/>
        <w:spacing w:after="40"/>
      </w:pPr>
      <w:r>
        <w:t>Does not own Prometheus or Grafana.</w:t>
      </w:r>
    </w:p>
    <w:p>
      <w:pPr>
        <w:pStyle w:val="ListBullet"/>
        <w:keepLines/>
        <w:spacing w:after="40"/>
      </w:pPr>
      <w:r>
        <w:t>Does not perform business data extraction or tool execution.</w:t>
      </w:r>
    </w:p>
    <w:p>
      <w:pPr>
        <w:pStyle w:val="ListBullet"/>
        <w:keepLines/>
        <w:spacing w:after="40"/>
      </w:pPr>
      <w:r>
        <w:t>Does not treat infrastructure process health as equivalent to customer endpoint health.</w:t>
      </w:r>
    </w:p>
    <w:p>
      <w:pPr>
        <w:pStyle w:val="Heading2"/>
        <w:keepNext/>
      </w:pPr>
      <w:r>
        <w:t>Key implementation notes</w:t>
      </w:r>
    </w:p>
    <w:p>
      <w:pPr>
        <w:pStyle w:val="ListBullet"/>
        <w:keepLines/>
        <w:spacing w:after="40"/>
      </w:pPr>
      <w:r>
        <w:t>Use a low-impact probe that does not read sensitive customer records.</w:t>
      </w:r>
    </w:p>
    <w:p>
      <w:pPr>
        <w:pStyle w:val="ListBullet"/>
        <w:keepLines/>
        <w:spacing w:after="40"/>
      </w:pPr>
      <w:r>
        <w:t>The original document specifies a heartbeat every 60 seconds; make the interval tenant-configurable and apply jitter to avoid synchronized probe spikes.</w:t>
      </w:r>
    </w:p>
    <w:p>
      <w:pPr>
        <w:pStyle w:val="Heading1"/>
        <w:keepNext/>
      </w:pPr>
      <w:r>
        <w:t>5. Cross-service communication and request flows</w:t>
      </w:r>
    </w:p>
    <w:p>
      <w:pPr>
        <w:pStyle w:val="Heading2"/>
        <w:keepNext/>
      </w:pPr>
      <w:r>
        <w:t>5.1 Synchronous request path</w:t>
      </w:r>
    </w:p>
    <w:p>
      <w:pPr>
        <w:spacing w:after="100"/>
      </w:pPr>
      <w:r>
        <w:t>The MCP tool call must return a result to the AI Host, so the core verification path is synchronous. Use internal REST initially for clear contracts, or gRPC for the hot path once measured latency/throughput justify it. Apply strict deadlines and correlation IDs end-to-end.</w:t>
      </w:r>
    </w:p>
    <w:p>
      <w:pPr>
        <w:keepLines/>
        <w:spacing w:before="60" w:after="140"/>
        <w:ind w:left="259" w:right="173"/>
        <w:shd w:fill="F2F5F8"/>
      </w:pPr>
      <w:r>
        <w:rPr>
          <w:rFonts w:ascii="Consolas" w:hAnsi="Consolas"/>
          <w:color w:val="23374B"/>
          <w:sz w:val="16"/>
        </w:rPr>
        <w:t>AI Host</w:t>
      </w:r>
      <w:r>
        <w:br/>
      </w:r>
      <w:r>
        <w:rPr>
          <w:rFonts w:ascii="Consolas" w:hAnsi="Consolas"/>
          <w:color w:val="23374B"/>
          <w:sz w:val="16"/>
        </w:rPr>
        <w:t xml:space="preserve">  -&gt; MCP Protocol Gateway</w:t>
      </w:r>
      <w:r>
        <w:br/>
      </w:r>
      <w:r>
        <w:rPr>
          <w:rFonts w:ascii="Consolas" w:hAnsi="Consolas"/>
          <w:color w:val="23374B"/>
          <w:sz w:val="16"/>
        </w:rPr>
        <w:t xml:space="preserve">  -&gt; Access Policy Service (authorize subject + tenant + tool + resource)</w:t>
      </w:r>
      <w:r>
        <w:br/>
      </w:r>
      <w:r>
        <w:rPr>
          <w:rFonts w:ascii="Consolas" w:hAnsi="Consolas"/>
          <w:color w:val="23374B"/>
          <w:sz w:val="16"/>
        </w:rPr>
        <w:t xml:space="preserve">  -&gt; Execution Orchestrator</w:t>
      </w:r>
      <w:r>
        <w:br/>
      </w:r>
      <w:r>
        <w:rPr>
          <w:rFonts w:ascii="Consolas" w:hAnsi="Consolas"/>
          <w:color w:val="23374B"/>
          <w:sz w:val="16"/>
        </w:rPr>
        <w:t xml:space="preserve">  -&gt; Connector Runtime (fetch from customer system)</w:t>
      </w:r>
      <w:r>
        <w:br/>
      </w:r>
      <w:r>
        <w:rPr>
          <w:rFonts w:ascii="Consolas" w:hAnsi="Consolas"/>
          <w:color w:val="23374B"/>
          <w:sz w:val="16"/>
        </w:rPr>
        <w:t xml:space="preserve">  -&gt; Data Normalization &amp; Privacy</w:t>
      </w:r>
      <w:r>
        <w:br/>
      </w:r>
      <w:r>
        <w:rPr>
          <w:rFonts w:ascii="Consolas" w:hAnsi="Consolas"/>
          <w:color w:val="23374B"/>
          <w:sz w:val="16"/>
        </w:rPr>
        <w:t xml:space="preserve">  -&gt; Rule Evaluation (restricted SpEL)</w:t>
      </w:r>
      <w:r>
        <w:br/>
      </w:r>
      <w:r>
        <w:rPr>
          <w:rFonts w:ascii="Consolas" w:hAnsi="Consolas"/>
          <w:color w:val="23374B"/>
          <w:sz w:val="16"/>
        </w:rPr>
        <w:t xml:space="preserve">  -&gt; Truth &amp; Confidence</w:t>
      </w:r>
      <w:r>
        <w:br/>
      </w:r>
      <w:r>
        <w:rPr>
          <w:rFonts w:ascii="Consolas" w:hAnsi="Consolas"/>
          <w:color w:val="23374B"/>
          <w:sz w:val="16"/>
        </w:rPr>
        <w:t xml:space="preserve">  -&gt; MCP Protocol Gateway</w:t>
      </w:r>
      <w:r>
        <w:br/>
      </w:r>
      <w:r>
        <w:rPr>
          <w:rFonts w:ascii="Consolas" w:hAnsi="Consolas"/>
          <w:color w:val="23374B"/>
          <w:sz w:val="16"/>
        </w:rPr>
        <w:t xml:space="preserve">  -&gt; AI Host</w:t>
      </w:r>
    </w:p>
    <w:p>
      <w:pPr>
        <w:pStyle w:val="Heading2"/>
        <w:keepNext/>
      </w:pPr>
      <w:r>
        <w:t>5.2 Asynchronous control-plane and audit events</w:t>
      </w:r>
    </w:p>
    <w:p>
      <w:pPr>
        <w:spacing w:after="100"/>
      </w:pPr>
      <w:r>
        <w:t>Use Kafka or RabbitMQ (choose one initially) for configuration refresh and audit/operational events. Use a transactional outbox in services that publish events. Consumers must be idempotent and tolerate duplicate/out-of-order delivery.</w:t>
      </w:r>
    </w:p>
    <w:p>
      <w:pPr>
        <w:keepLines/>
        <w:spacing w:before="60" w:after="140"/>
        <w:ind w:left="259" w:right="173"/>
        <w:shd w:fill="F2F5F8"/>
      </w:pPr>
      <w:r>
        <w:rPr>
          <w:rFonts w:ascii="Consolas" w:hAnsi="Consolas"/>
          <w:color w:val="23374B"/>
          <w:sz w:val="16"/>
        </w:rPr>
        <w:t>Blueprint Management -&gt; BlueprintPublished -&gt; Tool Catalog</w:t>
      </w:r>
      <w:r>
        <w:br/>
      </w:r>
      <w:r>
        <w:rPr>
          <w:rFonts w:ascii="Consolas" w:hAnsi="Consolas"/>
          <w:color w:val="23374B"/>
          <w:sz w:val="16"/>
        </w:rPr>
        <w:t>Tool Catalog -&gt; ToolPublished -&gt; MCP Gateway registry refresh</w:t>
      </w:r>
      <w:r>
        <w:br/>
      </w:r>
      <w:r>
        <w:rPr>
          <w:rFonts w:ascii="Consolas" w:hAnsi="Consolas"/>
          <w:color w:val="23374B"/>
          <w:sz w:val="16"/>
        </w:rPr>
        <w:t>Connector Management -&gt; ConnectorChanged -&gt; Connector Runtime config refresh</w:t>
      </w:r>
      <w:r>
        <w:br/>
      </w:r>
      <w:r>
        <w:rPr>
          <w:rFonts w:ascii="Consolas" w:hAnsi="Consolas"/>
          <w:color w:val="23374B"/>
          <w:sz w:val="16"/>
        </w:rPr>
        <w:t>All services -&gt; versioned audit events -&gt; Audit Management -&gt; customer ELK/Splunk</w:t>
      </w:r>
      <w:r>
        <w:br/>
      </w:r>
      <w:r>
        <w:rPr>
          <w:rFonts w:ascii="Consolas" w:hAnsi="Consolas"/>
          <w:color w:val="23374B"/>
          <w:sz w:val="16"/>
        </w:rPr>
        <w:t>Integration Health -&gt; ConnectorHealthChanged -&gt; Admin Portal projection</w:t>
      </w:r>
    </w:p>
    <w:p>
      <w:pPr>
        <w:pStyle w:val="Heading2"/>
        <w:keepNext/>
      </w:pPr>
      <w:r>
        <w:t>5.3 Configuration publication flow</w:t>
      </w:r>
    </w:p>
    <w:p>
      <w:pPr>
        <w:pStyle w:val="ListNumber"/>
        <w:keepLines/>
        <w:spacing w:after="40"/>
      </w:pPr>
      <w:r>
        <w:t>Admin saves a draft blueprint in Blueprint Management.</w:t>
      </w:r>
    </w:p>
    <w:p>
      <w:pPr>
        <w:pStyle w:val="ListNumber"/>
        <w:keepLines/>
        <w:spacing w:after="40"/>
      </w:pPr>
      <w:r>
        <w:t>Blueprint Management validates schema, connector reference and restricted rule syntax.</w:t>
      </w:r>
    </w:p>
    <w:p>
      <w:pPr>
        <w:pStyle w:val="ListNumber"/>
        <w:keepLines/>
        <w:spacing w:after="40"/>
      </w:pPr>
      <w:r>
        <w:t>Admin publishes a new immutable blueprint version.</w:t>
      </w:r>
    </w:p>
    <w:p>
      <w:pPr>
        <w:pStyle w:val="ListNumber"/>
        <w:keepLines/>
        <w:spacing w:after="40"/>
      </w:pPr>
      <w:r>
        <w:t>Tool Catalog binds the visible MCP tool to that exact blueprint version.</w:t>
      </w:r>
    </w:p>
    <w:p>
      <w:pPr>
        <w:pStyle w:val="ListNumber"/>
        <w:keepLines/>
        <w:spacing w:after="40"/>
      </w:pPr>
      <w:r>
        <w:t>Tool Catalog emits ToolPublished through its outbox.</w:t>
      </w:r>
    </w:p>
    <w:p>
      <w:pPr>
        <w:pStyle w:val="ListNumber"/>
        <w:keepLines/>
        <w:spacing w:after="40"/>
      </w:pPr>
      <w:r>
        <w:t>MCP Gateway instances consume the event and refresh their local tool registry; periodic snapshot reconciliation repairs missed events.</w:t>
      </w:r>
    </w:p>
    <w:p>
      <w:pPr>
        <w:pStyle w:val="ListNumber"/>
        <w:keepLines/>
        <w:spacing w:after="40"/>
      </w:pPr>
      <w:r>
        <w:t>Execution Orchestrator pins the tool and blueprint versions for each request.</w:t>
      </w:r>
    </w:p>
    <w:p>
      <w:pPr>
        <w:pStyle w:val="Heading2"/>
        <w:keepNext/>
      </w:pPr>
      <w:r>
        <w:t>5.4 Audit flow</w:t>
      </w:r>
    </w:p>
    <w:p>
      <w:pPr>
        <w:spacing w:after="100"/>
      </w:pPr>
      <w:r>
        <w:t>Services emit structured audit events through their outboxes. Audit Management consumes, validates, redacts and forwards them. Audit ingestion should not block the user-facing MCP response, but the platform must alert on event backlog or forwarding failure. Events should include a stable event ID and correlation/execution ID.</w:t>
      </w:r>
    </w:p>
    <w:p>
      <w:pPr>
        <w:pStyle w:val="Heading1"/>
        <w:keepNext/>
      </w:pPr>
      <w:r>
        <w:t>6. Data ownership and database-per-service</w:t>
      </w:r>
    </w:p>
    <w:p>
      <w:pPr>
        <w:spacing w:after="100"/>
      </w:pPr>
      <w:r>
        <w:t>Each microservice is the sole writer and owner of its datastore. A shared PostgreSQL cluster is acceptable initially for operational simplicity, but use separate databases or at least separate schemas, credentials and migration pipelines. No service may query another service’s tables directly.</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376"/>
            <w:vAlign w:val="center"/>
            <w:tcMar>
              <w:top w:w="80" w:type="dxa"/>
              <w:start w:w="100" w:type="dxa"/>
              <w:bottom w:w="80" w:type="dxa"/>
              <w:end w:w="100" w:type="dxa"/>
            </w:tcMar>
            <w:shd w:fill="17365D"/>
          </w:tcPr>
          <w:p>
            <w:pPr>
              <w:spacing w:after="0" w:before="0"/>
            </w:pPr>
            <w:r/>
            <w:r>
              <w:rPr>
                <w:rFonts w:ascii="Aptos" w:hAnsi="Aptos"/>
                <w:b/>
                <w:color w:val="FFFFFF"/>
                <w:sz w:val="15"/>
              </w:rPr>
              <w:t>Service</w:t>
            </w:r>
          </w:p>
        </w:tc>
        <w:tc>
          <w:tcPr>
            <w:tcW w:type="dxa" w:w="2376"/>
            <w:vAlign w:val="center"/>
            <w:tcMar>
              <w:top w:w="80" w:type="dxa"/>
              <w:start w:w="100" w:type="dxa"/>
              <w:bottom w:w="80" w:type="dxa"/>
              <w:end w:w="100" w:type="dxa"/>
            </w:tcMar>
            <w:shd w:fill="17365D"/>
          </w:tcPr>
          <w:p>
            <w:pPr>
              <w:spacing w:after="0" w:before="0"/>
            </w:pPr>
            <w:r/>
            <w:r>
              <w:rPr>
                <w:rFonts w:ascii="Aptos" w:hAnsi="Aptos"/>
                <w:b/>
                <w:color w:val="FFFFFF"/>
                <w:sz w:val="15"/>
              </w:rPr>
              <w:t>Owned datastore</w:t>
            </w:r>
          </w:p>
        </w:tc>
        <w:tc>
          <w:tcPr>
            <w:tcW w:type="dxa" w:w="5472"/>
            <w:vAlign w:val="center"/>
            <w:tcMar>
              <w:top w:w="80" w:type="dxa"/>
              <w:start w:w="100" w:type="dxa"/>
              <w:bottom w:w="80" w:type="dxa"/>
              <w:end w:w="100" w:type="dxa"/>
            </w:tcMar>
            <w:shd w:fill="17365D"/>
          </w:tcPr>
          <w:p>
            <w:pPr>
              <w:spacing w:after="0" w:before="0"/>
            </w:pPr>
            <w:r/>
            <w:r>
              <w:rPr>
                <w:rFonts w:ascii="Aptos" w:hAnsi="Aptos"/>
                <w:b/>
                <w:color w:val="FFFFFF"/>
                <w:sz w:val="15"/>
              </w:rPr>
              <w:t>What it stores</w:t>
            </w:r>
          </w:p>
        </w:tc>
      </w:tr>
      <w:tr>
        <w:trPr>
          <w:cantSplit/>
        </w:trPr>
        <w:tc>
          <w:tcPr>
            <w:tcW w:type="dxa" w:w="2376"/>
            <w:vAlign w:val="center"/>
            <w:tcMar>
              <w:top w:w="80" w:type="dxa"/>
              <w:start w:w="100" w:type="dxa"/>
              <w:bottom w:w="80" w:type="dxa"/>
              <w:end w:w="100" w:type="dxa"/>
            </w:tcMar>
            <w:shd w:fill="F3F6F9"/>
          </w:tcPr>
          <w:p>
            <w:pPr>
              <w:spacing w:after="0" w:before="0"/>
            </w:pPr>
            <w:r/>
            <w:r>
              <w:rPr>
                <w:rFonts w:ascii="Aptos" w:hAnsi="Aptos"/>
                <w:b w:val="0"/>
                <w:sz w:val="15"/>
              </w:rPr>
              <w:t>Tenant Management</w:t>
            </w:r>
          </w:p>
        </w:tc>
        <w:tc>
          <w:tcPr>
            <w:tcW w:type="dxa" w:w="2376"/>
            <w:vAlign w:val="center"/>
            <w:tcMar>
              <w:top w:w="80" w:type="dxa"/>
              <w:start w:w="100" w:type="dxa"/>
              <w:bottom w:w="80" w:type="dxa"/>
              <w:end w:w="100" w:type="dxa"/>
            </w:tcMar>
            <w:shd w:fill="F3F6F9"/>
          </w:tcPr>
          <w:p>
            <w:pPr>
              <w:spacing w:after="0" w:before="0"/>
            </w:pPr>
            <w:r/>
            <w:r>
              <w:rPr>
                <w:rFonts w:ascii="Aptos" w:hAnsi="Aptos"/>
                <w:b w:val="0"/>
                <w:sz w:val="15"/>
              </w:rPr>
              <w:t>tenant_db</w:t>
            </w:r>
          </w:p>
        </w:tc>
        <w:tc>
          <w:tcPr>
            <w:tcW w:type="dxa" w:w="5472"/>
            <w:vAlign w:val="center"/>
            <w:tcMar>
              <w:top w:w="80" w:type="dxa"/>
              <w:start w:w="100" w:type="dxa"/>
              <w:bottom w:w="80" w:type="dxa"/>
              <w:end w:w="100" w:type="dxa"/>
            </w:tcMar>
            <w:shd w:fill="F3F6F9"/>
          </w:tcPr>
          <w:p>
            <w:pPr>
              <w:spacing w:after="0" w:before="0"/>
            </w:pPr>
            <w:r/>
            <w:r>
              <w:rPr>
                <w:rFonts w:ascii="Aptos" w:hAnsi="Aptos"/>
                <w:b w:val="0"/>
                <w:sz w:val="15"/>
              </w:rPr>
              <w:t>Tenant profile, lifecycle and deployment/isolation metadata</w:t>
            </w:r>
          </w:p>
        </w:tc>
      </w:tr>
      <w:tr>
        <w:trPr>
          <w:cantSplit/>
        </w:trPr>
        <w:tc>
          <w:tcPr>
            <w:tcW w:type="dxa" w:w="2376"/>
            <w:vAlign w:val="center"/>
            <w:tcMar>
              <w:top w:w="80" w:type="dxa"/>
              <w:start w:w="100" w:type="dxa"/>
              <w:bottom w:w="80" w:type="dxa"/>
              <w:end w:w="100" w:type="dxa"/>
            </w:tcMar>
          </w:tcPr>
          <w:p>
            <w:pPr>
              <w:spacing w:after="0" w:before="0"/>
            </w:pPr>
            <w:r/>
            <w:r>
              <w:rPr>
                <w:rFonts w:ascii="Aptos" w:hAnsi="Aptos"/>
                <w:b w:val="0"/>
                <w:sz w:val="15"/>
              </w:rPr>
              <w:t>User Management</w:t>
            </w:r>
          </w:p>
        </w:tc>
        <w:tc>
          <w:tcPr>
            <w:tcW w:type="dxa" w:w="2376"/>
            <w:vAlign w:val="center"/>
            <w:tcMar>
              <w:top w:w="80" w:type="dxa"/>
              <w:start w:w="100" w:type="dxa"/>
              <w:bottom w:w="80" w:type="dxa"/>
              <w:end w:w="100" w:type="dxa"/>
            </w:tcMar>
          </w:tcPr>
          <w:p>
            <w:pPr>
              <w:spacing w:after="0" w:before="0"/>
            </w:pPr>
            <w:r/>
            <w:r>
              <w:rPr>
                <w:rFonts w:ascii="Aptos" w:hAnsi="Aptos"/>
                <w:b w:val="0"/>
                <w:sz w:val="15"/>
              </w:rPr>
              <w:t>user_db</w:t>
            </w:r>
          </w:p>
        </w:tc>
        <w:tc>
          <w:tcPr>
            <w:tcW w:type="dxa" w:w="5472"/>
            <w:vAlign w:val="center"/>
            <w:tcMar>
              <w:top w:w="80" w:type="dxa"/>
              <w:start w:w="100" w:type="dxa"/>
              <w:bottom w:w="80" w:type="dxa"/>
              <w:end w:w="100" w:type="dxa"/>
            </w:tcMar>
          </w:tcPr>
          <w:p>
            <w:pPr>
              <w:spacing w:after="0" w:before="0"/>
            </w:pPr>
            <w:r/>
            <w:r>
              <w:rPr>
                <w:rFonts w:ascii="Aptos" w:hAnsi="Aptos"/>
                <w:b w:val="0"/>
                <w:sz w:val="15"/>
              </w:rPr>
              <w:t>Application user profiles, external identity mapping, memberships, invitations</w:t>
            </w:r>
          </w:p>
        </w:tc>
      </w:tr>
      <w:tr>
        <w:trPr>
          <w:cantSplit/>
        </w:trPr>
        <w:tc>
          <w:tcPr>
            <w:tcW w:type="dxa" w:w="2376"/>
            <w:vAlign w:val="center"/>
            <w:tcMar>
              <w:top w:w="80" w:type="dxa"/>
              <w:start w:w="100" w:type="dxa"/>
              <w:bottom w:w="80" w:type="dxa"/>
              <w:end w:w="100" w:type="dxa"/>
            </w:tcMar>
            <w:shd w:fill="F3F6F9"/>
          </w:tcPr>
          <w:p>
            <w:pPr>
              <w:spacing w:after="0" w:before="0"/>
            </w:pPr>
            <w:r/>
            <w:r>
              <w:rPr>
                <w:rFonts w:ascii="Aptos" w:hAnsi="Aptos"/>
                <w:b w:val="0"/>
                <w:sz w:val="15"/>
              </w:rPr>
              <w:t>Access Policy</w:t>
            </w:r>
          </w:p>
        </w:tc>
        <w:tc>
          <w:tcPr>
            <w:tcW w:type="dxa" w:w="2376"/>
            <w:vAlign w:val="center"/>
            <w:tcMar>
              <w:top w:w="80" w:type="dxa"/>
              <w:start w:w="100" w:type="dxa"/>
              <w:bottom w:w="80" w:type="dxa"/>
              <w:end w:w="100" w:type="dxa"/>
            </w:tcMar>
            <w:shd w:fill="F3F6F9"/>
          </w:tcPr>
          <w:p>
            <w:pPr>
              <w:spacing w:after="0" w:before="0"/>
            </w:pPr>
            <w:r/>
            <w:r>
              <w:rPr>
                <w:rFonts w:ascii="Aptos" w:hAnsi="Aptos"/>
                <w:b w:val="0"/>
                <w:sz w:val="15"/>
              </w:rPr>
              <w:t>access_policy_db</w:t>
            </w:r>
          </w:p>
        </w:tc>
        <w:tc>
          <w:tcPr>
            <w:tcW w:type="dxa" w:w="5472"/>
            <w:vAlign w:val="center"/>
            <w:tcMar>
              <w:top w:w="80" w:type="dxa"/>
              <w:start w:w="100" w:type="dxa"/>
              <w:bottom w:w="80" w:type="dxa"/>
              <w:end w:w="100" w:type="dxa"/>
            </w:tcMar>
            <w:shd w:fill="F3F6F9"/>
          </w:tcPr>
          <w:p>
            <w:pPr>
              <w:spacing w:after="0" w:before="0"/>
            </w:pPr>
            <w:r/>
            <w:r>
              <w:rPr>
                <w:rFonts w:ascii="Aptos" w:hAnsi="Aptos"/>
                <w:b w:val="0"/>
                <w:sz w:val="15"/>
              </w:rPr>
              <w:t>Roles, permissions, grants, resource scopes and policy versions</w:t>
            </w:r>
          </w:p>
        </w:tc>
      </w:tr>
      <w:tr>
        <w:trPr>
          <w:cantSplit/>
        </w:trPr>
        <w:tc>
          <w:tcPr>
            <w:tcW w:type="dxa" w:w="2376"/>
            <w:vAlign w:val="center"/>
            <w:tcMar>
              <w:top w:w="80" w:type="dxa"/>
              <w:start w:w="100" w:type="dxa"/>
              <w:bottom w:w="80" w:type="dxa"/>
              <w:end w:w="100" w:type="dxa"/>
            </w:tcMar>
          </w:tcPr>
          <w:p>
            <w:pPr>
              <w:spacing w:after="0" w:before="0"/>
            </w:pPr>
            <w:r/>
            <w:r>
              <w:rPr>
                <w:rFonts w:ascii="Aptos" w:hAnsi="Aptos"/>
                <w:b w:val="0"/>
                <w:sz w:val="15"/>
              </w:rPr>
              <w:t>Blueprint Management</w:t>
            </w:r>
          </w:p>
        </w:tc>
        <w:tc>
          <w:tcPr>
            <w:tcW w:type="dxa" w:w="2376"/>
            <w:vAlign w:val="center"/>
            <w:tcMar>
              <w:top w:w="80" w:type="dxa"/>
              <w:start w:w="100" w:type="dxa"/>
              <w:bottom w:w="80" w:type="dxa"/>
              <w:end w:w="100" w:type="dxa"/>
            </w:tcMar>
          </w:tcPr>
          <w:p>
            <w:pPr>
              <w:spacing w:after="0" w:before="0"/>
            </w:pPr>
            <w:r/>
            <w:r>
              <w:rPr>
                <w:rFonts w:ascii="Aptos" w:hAnsi="Aptos"/>
                <w:b w:val="0"/>
                <w:sz w:val="15"/>
              </w:rPr>
              <w:t>blueprint_db</w:t>
            </w:r>
          </w:p>
        </w:tc>
        <w:tc>
          <w:tcPr>
            <w:tcW w:type="dxa" w:w="5472"/>
            <w:vAlign w:val="center"/>
            <w:tcMar>
              <w:top w:w="80" w:type="dxa"/>
              <w:start w:w="100" w:type="dxa"/>
              <w:bottom w:w="80" w:type="dxa"/>
              <w:end w:w="100" w:type="dxa"/>
            </w:tcMar>
          </w:tcPr>
          <w:p>
            <w:pPr>
              <w:spacing w:after="0" w:before="0"/>
            </w:pPr>
            <w:r/>
            <w:r>
              <w:rPr>
                <w:rFonts w:ascii="Aptos" w:hAnsi="Aptos"/>
                <w:b w:val="0"/>
                <w:sz w:val="15"/>
              </w:rPr>
              <w:t>Blueprint drafts, immutable versions, validation and publication state</w:t>
            </w:r>
          </w:p>
        </w:tc>
      </w:tr>
      <w:tr>
        <w:trPr>
          <w:cantSplit/>
        </w:trPr>
        <w:tc>
          <w:tcPr>
            <w:tcW w:type="dxa" w:w="2376"/>
            <w:vAlign w:val="center"/>
            <w:tcMar>
              <w:top w:w="80" w:type="dxa"/>
              <w:start w:w="100" w:type="dxa"/>
              <w:bottom w:w="80" w:type="dxa"/>
              <w:end w:w="100" w:type="dxa"/>
            </w:tcMar>
            <w:shd w:fill="F3F6F9"/>
          </w:tcPr>
          <w:p>
            <w:pPr>
              <w:spacing w:after="0" w:before="0"/>
            </w:pPr>
            <w:r/>
            <w:r>
              <w:rPr>
                <w:rFonts w:ascii="Aptos" w:hAnsi="Aptos"/>
                <w:b w:val="0"/>
                <w:sz w:val="15"/>
              </w:rPr>
              <w:t>Tool Catalog</w:t>
            </w:r>
          </w:p>
        </w:tc>
        <w:tc>
          <w:tcPr>
            <w:tcW w:type="dxa" w:w="2376"/>
            <w:vAlign w:val="center"/>
            <w:tcMar>
              <w:top w:w="80" w:type="dxa"/>
              <w:start w:w="100" w:type="dxa"/>
              <w:bottom w:w="80" w:type="dxa"/>
              <w:end w:w="100" w:type="dxa"/>
            </w:tcMar>
            <w:shd w:fill="F3F6F9"/>
          </w:tcPr>
          <w:p>
            <w:pPr>
              <w:spacing w:after="0" w:before="0"/>
            </w:pPr>
            <w:r/>
            <w:r>
              <w:rPr>
                <w:rFonts w:ascii="Aptos" w:hAnsi="Aptos"/>
                <w:b w:val="0"/>
                <w:sz w:val="15"/>
              </w:rPr>
              <w:t>tool_catalog_db</w:t>
            </w:r>
          </w:p>
        </w:tc>
        <w:tc>
          <w:tcPr>
            <w:tcW w:type="dxa" w:w="5472"/>
            <w:vAlign w:val="center"/>
            <w:tcMar>
              <w:top w:w="80" w:type="dxa"/>
              <w:start w:w="100" w:type="dxa"/>
              <w:bottom w:w="80" w:type="dxa"/>
              <w:end w:w="100" w:type="dxa"/>
            </w:tcMar>
            <w:shd w:fill="F3F6F9"/>
          </w:tcPr>
          <w:p>
            <w:pPr>
              <w:spacing w:after="0" w:before="0"/>
            </w:pPr>
            <w:r/>
            <w:r>
              <w:rPr>
                <w:rFonts w:ascii="Aptos" w:hAnsi="Aptos"/>
                <w:b w:val="0"/>
                <w:sz w:val="15"/>
              </w:rPr>
              <w:t>Tool metadata, version, blueprint binding, visibility and publication history</w:t>
            </w:r>
          </w:p>
        </w:tc>
      </w:tr>
      <w:tr>
        <w:trPr>
          <w:cantSplit/>
        </w:trPr>
        <w:tc>
          <w:tcPr>
            <w:tcW w:type="dxa" w:w="2376"/>
            <w:vAlign w:val="center"/>
            <w:tcMar>
              <w:top w:w="80" w:type="dxa"/>
              <w:start w:w="100" w:type="dxa"/>
              <w:bottom w:w="80" w:type="dxa"/>
              <w:end w:w="100" w:type="dxa"/>
            </w:tcMar>
          </w:tcPr>
          <w:p>
            <w:pPr>
              <w:spacing w:after="0" w:before="0"/>
            </w:pPr>
            <w:r/>
            <w:r>
              <w:rPr>
                <w:rFonts w:ascii="Aptos" w:hAnsi="Aptos"/>
                <w:b w:val="0"/>
                <w:sz w:val="15"/>
              </w:rPr>
              <w:t>Connector Management</w:t>
            </w:r>
          </w:p>
        </w:tc>
        <w:tc>
          <w:tcPr>
            <w:tcW w:type="dxa" w:w="2376"/>
            <w:vAlign w:val="center"/>
            <w:tcMar>
              <w:top w:w="80" w:type="dxa"/>
              <w:start w:w="100" w:type="dxa"/>
              <w:bottom w:w="80" w:type="dxa"/>
              <w:end w:w="100" w:type="dxa"/>
            </w:tcMar>
          </w:tcPr>
          <w:p>
            <w:pPr>
              <w:spacing w:after="0" w:before="0"/>
            </w:pPr>
            <w:r/>
            <w:r>
              <w:rPr>
                <w:rFonts w:ascii="Aptos" w:hAnsi="Aptos"/>
                <w:b w:val="0"/>
                <w:sz w:val="15"/>
              </w:rPr>
              <w:t>connector_config_db</w:t>
            </w:r>
          </w:p>
        </w:tc>
        <w:tc>
          <w:tcPr>
            <w:tcW w:type="dxa" w:w="5472"/>
            <w:vAlign w:val="center"/>
            <w:tcMar>
              <w:top w:w="80" w:type="dxa"/>
              <w:start w:w="100" w:type="dxa"/>
              <w:bottom w:w="80" w:type="dxa"/>
              <w:end w:w="100" w:type="dxa"/>
            </w:tcMar>
          </w:tcPr>
          <w:p>
            <w:pPr>
              <w:spacing w:after="0" w:before="0"/>
            </w:pPr>
            <w:r/>
            <w:r>
              <w:rPr>
                <w:rFonts w:ascii="Aptos" w:hAnsi="Aptos"/>
                <w:b w:val="0"/>
                <w:sz w:val="15"/>
              </w:rPr>
              <w:t>Connector metadata, allowed operations, configuration versions, secret references</w:t>
            </w:r>
          </w:p>
        </w:tc>
      </w:tr>
      <w:tr>
        <w:trPr>
          <w:cantSplit/>
        </w:trPr>
        <w:tc>
          <w:tcPr>
            <w:tcW w:type="dxa" w:w="2376"/>
            <w:vAlign w:val="center"/>
            <w:tcMar>
              <w:top w:w="80" w:type="dxa"/>
              <w:start w:w="100" w:type="dxa"/>
              <w:bottom w:w="80" w:type="dxa"/>
              <w:end w:w="100" w:type="dxa"/>
            </w:tcMar>
            <w:shd w:fill="F3F6F9"/>
          </w:tcPr>
          <w:p>
            <w:pPr>
              <w:spacing w:after="0" w:before="0"/>
            </w:pPr>
            <w:r/>
            <w:r>
              <w:rPr>
                <w:rFonts w:ascii="Aptos" w:hAnsi="Aptos"/>
                <w:b w:val="0"/>
                <w:sz w:val="15"/>
              </w:rPr>
              <w:t>MCP Gateway</w:t>
            </w:r>
          </w:p>
        </w:tc>
        <w:tc>
          <w:tcPr>
            <w:tcW w:type="dxa" w:w="2376"/>
            <w:vAlign w:val="center"/>
            <w:tcMar>
              <w:top w:w="80" w:type="dxa"/>
              <w:start w:w="100" w:type="dxa"/>
              <w:bottom w:w="80" w:type="dxa"/>
              <w:end w:w="100" w:type="dxa"/>
            </w:tcMar>
            <w:shd w:fill="F3F6F9"/>
          </w:tcPr>
          <w:p>
            <w:pPr>
              <w:spacing w:after="0" w:before="0"/>
            </w:pPr>
            <w:r/>
            <w:r>
              <w:rPr>
                <w:rFonts w:ascii="Aptos" w:hAnsi="Aptos"/>
                <w:b w:val="0"/>
                <w:sz w:val="15"/>
              </w:rPr>
              <w:t>None / optional Redis</w:t>
            </w:r>
          </w:p>
        </w:tc>
        <w:tc>
          <w:tcPr>
            <w:tcW w:type="dxa" w:w="5472"/>
            <w:vAlign w:val="center"/>
            <w:tcMar>
              <w:top w:w="80" w:type="dxa"/>
              <w:start w:w="100" w:type="dxa"/>
              <w:bottom w:w="80" w:type="dxa"/>
              <w:end w:w="100" w:type="dxa"/>
            </w:tcMar>
            <w:shd w:fill="F3F6F9"/>
          </w:tcPr>
          <w:p>
            <w:pPr>
              <w:spacing w:after="0" w:before="0"/>
            </w:pPr>
            <w:r/>
            <w:r>
              <w:rPr>
                <w:rFonts w:ascii="Aptos" w:hAnsi="Aptos"/>
                <w:b w:val="0"/>
                <w:sz w:val="15"/>
              </w:rPr>
              <w:t>Ephemeral sessions and local tool-catalog projection only</w:t>
            </w:r>
          </w:p>
        </w:tc>
      </w:tr>
      <w:tr>
        <w:trPr>
          <w:cantSplit/>
        </w:trPr>
        <w:tc>
          <w:tcPr>
            <w:tcW w:type="dxa" w:w="2376"/>
            <w:vAlign w:val="center"/>
            <w:tcMar>
              <w:top w:w="80" w:type="dxa"/>
              <w:start w:w="100" w:type="dxa"/>
              <w:bottom w:w="80" w:type="dxa"/>
              <w:end w:w="100" w:type="dxa"/>
            </w:tcMar>
          </w:tcPr>
          <w:p>
            <w:pPr>
              <w:spacing w:after="0" w:before="0"/>
            </w:pPr>
            <w:r/>
            <w:r>
              <w:rPr>
                <w:rFonts w:ascii="Aptos" w:hAnsi="Aptos"/>
                <w:b w:val="0"/>
                <w:sz w:val="15"/>
              </w:rPr>
              <w:t>Execution Orchestrator</w:t>
            </w:r>
          </w:p>
        </w:tc>
        <w:tc>
          <w:tcPr>
            <w:tcW w:type="dxa" w:w="2376"/>
            <w:vAlign w:val="center"/>
            <w:tcMar>
              <w:top w:w="80" w:type="dxa"/>
              <w:start w:w="100" w:type="dxa"/>
              <w:bottom w:w="80" w:type="dxa"/>
              <w:end w:w="100" w:type="dxa"/>
            </w:tcMar>
          </w:tcPr>
          <w:p>
            <w:pPr>
              <w:spacing w:after="0" w:before="0"/>
            </w:pPr>
            <w:r/>
            <w:r>
              <w:rPr>
                <w:rFonts w:ascii="Aptos" w:hAnsi="Aptos"/>
                <w:b w:val="0"/>
                <w:sz w:val="15"/>
              </w:rPr>
              <w:t>Optional execution_state_db</w:t>
            </w:r>
          </w:p>
        </w:tc>
        <w:tc>
          <w:tcPr>
            <w:tcW w:type="dxa" w:w="5472"/>
            <w:vAlign w:val="center"/>
            <w:tcMar>
              <w:top w:w="80" w:type="dxa"/>
              <w:start w:w="100" w:type="dxa"/>
              <w:bottom w:w="80" w:type="dxa"/>
              <w:end w:w="100" w:type="dxa"/>
            </w:tcMar>
          </w:tcPr>
          <w:p>
            <w:pPr>
              <w:spacing w:after="0" w:before="0"/>
            </w:pPr>
            <w:r/>
            <w:r>
              <w:rPr>
                <w:rFonts w:ascii="Aptos" w:hAnsi="Aptos"/>
                <w:b w:val="0"/>
                <w:sz w:val="15"/>
              </w:rPr>
              <w:t>Long-running execution state/idempotency; omit for simple short-lived reads</w:t>
            </w:r>
          </w:p>
        </w:tc>
      </w:tr>
      <w:tr>
        <w:trPr>
          <w:cantSplit/>
        </w:trPr>
        <w:tc>
          <w:tcPr>
            <w:tcW w:type="dxa" w:w="2376"/>
            <w:vAlign w:val="center"/>
            <w:tcMar>
              <w:top w:w="80" w:type="dxa"/>
              <w:start w:w="100" w:type="dxa"/>
              <w:bottom w:w="80" w:type="dxa"/>
              <w:end w:w="100" w:type="dxa"/>
            </w:tcMar>
            <w:shd w:fill="F3F6F9"/>
          </w:tcPr>
          <w:p>
            <w:pPr>
              <w:spacing w:after="0" w:before="0"/>
            </w:pPr>
            <w:r/>
            <w:r>
              <w:rPr>
                <w:rFonts w:ascii="Aptos" w:hAnsi="Aptos"/>
                <w:b w:val="0"/>
                <w:sz w:val="15"/>
              </w:rPr>
              <w:t>Connector Runtime</w:t>
            </w:r>
          </w:p>
        </w:tc>
        <w:tc>
          <w:tcPr>
            <w:tcW w:type="dxa" w:w="2376"/>
            <w:vAlign w:val="center"/>
            <w:tcMar>
              <w:top w:w="80" w:type="dxa"/>
              <w:start w:w="100" w:type="dxa"/>
              <w:bottom w:w="80" w:type="dxa"/>
              <w:end w:w="100" w:type="dxa"/>
            </w:tcMar>
            <w:shd w:fill="F3F6F9"/>
          </w:tcPr>
          <w:p>
            <w:pPr>
              <w:spacing w:after="0" w:before="0"/>
            </w:pPr>
            <w:r/>
            <w:r>
              <w:rPr>
                <w:rFonts w:ascii="Aptos" w:hAnsi="Aptos"/>
                <w:b w:val="0"/>
                <w:sz w:val="15"/>
              </w:rPr>
              <w:t>None</w:t>
            </w:r>
          </w:p>
        </w:tc>
        <w:tc>
          <w:tcPr>
            <w:tcW w:type="dxa" w:w="5472"/>
            <w:vAlign w:val="center"/>
            <w:tcMar>
              <w:top w:w="80" w:type="dxa"/>
              <w:start w:w="100" w:type="dxa"/>
              <w:bottom w:w="80" w:type="dxa"/>
              <w:end w:w="100" w:type="dxa"/>
            </w:tcMar>
            <w:shd w:fill="F3F6F9"/>
          </w:tcPr>
          <w:p>
            <w:pPr>
              <w:spacing w:after="0" w:before="0"/>
            </w:pPr>
            <w:r/>
            <w:r>
              <w:rPr>
                <w:rFonts w:ascii="Aptos" w:hAnsi="Aptos"/>
                <w:b w:val="0"/>
                <w:sz w:val="15"/>
              </w:rPr>
              <w:t>In-memory outbound request/response only</w:t>
            </w:r>
          </w:p>
        </w:tc>
      </w:tr>
      <w:tr>
        <w:trPr>
          <w:cantSplit/>
        </w:trPr>
        <w:tc>
          <w:tcPr>
            <w:tcW w:type="dxa" w:w="2376"/>
            <w:vAlign w:val="center"/>
            <w:tcMar>
              <w:top w:w="80" w:type="dxa"/>
              <w:start w:w="100" w:type="dxa"/>
              <w:bottom w:w="80" w:type="dxa"/>
              <w:end w:w="100" w:type="dxa"/>
            </w:tcMar>
          </w:tcPr>
          <w:p>
            <w:pPr>
              <w:spacing w:after="0" w:before="0"/>
            </w:pPr>
            <w:r/>
            <w:r>
              <w:rPr>
                <w:rFonts w:ascii="Aptos" w:hAnsi="Aptos"/>
                <w:b w:val="0"/>
                <w:sz w:val="15"/>
              </w:rPr>
              <w:t>Normalization &amp; Privacy</w:t>
            </w:r>
          </w:p>
        </w:tc>
        <w:tc>
          <w:tcPr>
            <w:tcW w:type="dxa" w:w="2376"/>
            <w:vAlign w:val="center"/>
            <w:tcMar>
              <w:top w:w="80" w:type="dxa"/>
              <w:start w:w="100" w:type="dxa"/>
              <w:bottom w:w="80" w:type="dxa"/>
              <w:end w:w="100" w:type="dxa"/>
            </w:tcMar>
          </w:tcPr>
          <w:p>
            <w:pPr>
              <w:spacing w:after="0" w:before="0"/>
            </w:pPr>
            <w:r/>
            <w:r>
              <w:rPr>
                <w:rFonts w:ascii="Aptos" w:hAnsi="Aptos"/>
                <w:b w:val="0"/>
                <w:sz w:val="15"/>
              </w:rPr>
              <w:t>None</w:t>
            </w:r>
          </w:p>
        </w:tc>
        <w:tc>
          <w:tcPr>
            <w:tcW w:type="dxa" w:w="5472"/>
            <w:vAlign w:val="center"/>
            <w:tcMar>
              <w:top w:w="80" w:type="dxa"/>
              <w:start w:w="100" w:type="dxa"/>
              <w:bottom w:w="80" w:type="dxa"/>
              <w:end w:w="100" w:type="dxa"/>
            </w:tcMar>
          </w:tcPr>
          <w:p>
            <w:pPr>
              <w:spacing w:after="0" w:before="0"/>
            </w:pPr>
            <w:r/>
            <w:r>
              <w:rPr>
                <w:rFonts w:ascii="Aptos" w:hAnsi="Aptos"/>
                <w:b w:val="0"/>
                <w:sz w:val="15"/>
              </w:rPr>
              <w:t>Stateless transformation only</w:t>
            </w:r>
          </w:p>
        </w:tc>
      </w:tr>
      <w:tr>
        <w:trPr>
          <w:cantSplit/>
        </w:trPr>
        <w:tc>
          <w:tcPr>
            <w:tcW w:type="dxa" w:w="2376"/>
            <w:vAlign w:val="center"/>
            <w:tcMar>
              <w:top w:w="80" w:type="dxa"/>
              <w:start w:w="100" w:type="dxa"/>
              <w:bottom w:w="80" w:type="dxa"/>
              <w:end w:w="100" w:type="dxa"/>
            </w:tcMar>
            <w:shd w:fill="F3F6F9"/>
          </w:tcPr>
          <w:p>
            <w:pPr>
              <w:spacing w:after="0" w:before="0"/>
            </w:pPr>
            <w:r/>
            <w:r>
              <w:rPr>
                <w:rFonts w:ascii="Aptos" w:hAnsi="Aptos"/>
                <w:b w:val="0"/>
                <w:sz w:val="15"/>
              </w:rPr>
              <w:t>Rule Evaluation</w:t>
            </w:r>
          </w:p>
        </w:tc>
        <w:tc>
          <w:tcPr>
            <w:tcW w:type="dxa" w:w="2376"/>
            <w:vAlign w:val="center"/>
            <w:tcMar>
              <w:top w:w="80" w:type="dxa"/>
              <w:start w:w="100" w:type="dxa"/>
              <w:bottom w:w="80" w:type="dxa"/>
              <w:end w:w="100" w:type="dxa"/>
            </w:tcMar>
            <w:shd w:fill="F3F6F9"/>
          </w:tcPr>
          <w:p>
            <w:pPr>
              <w:spacing w:after="0" w:before="0"/>
            </w:pPr>
            <w:r/>
            <w:r>
              <w:rPr>
                <w:rFonts w:ascii="Aptos" w:hAnsi="Aptos"/>
                <w:b w:val="0"/>
                <w:sz w:val="15"/>
              </w:rPr>
              <w:t>None</w:t>
            </w:r>
          </w:p>
        </w:tc>
        <w:tc>
          <w:tcPr>
            <w:tcW w:type="dxa" w:w="5472"/>
            <w:vAlign w:val="center"/>
            <w:tcMar>
              <w:top w:w="80" w:type="dxa"/>
              <w:start w:w="100" w:type="dxa"/>
              <w:bottom w:w="80" w:type="dxa"/>
              <w:end w:w="100" w:type="dxa"/>
            </w:tcMar>
            <w:shd w:fill="F3F6F9"/>
          </w:tcPr>
          <w:p>
            <w:pPr>
              <w:spacing w:after="0" w:before="0"/>
            </w:pPr>
            <w:r/>
            <w:r>
              <w:rPr>
                <w:rFonts w:ascii="Aptos" w:hAnsi="Aptos"/>
                <w:b w:val="0"/>
                <w:sz w:val="15"/>
              </w:rPr>
              <w:t>Compiled-expression cache only; no customer record persistence</w:t>
            </w:r>
          </w:p>
        </w:tc>
      </w:tr>
      <w:tr>
        <w:trPr>
          <w:cantSplit/>
        </w:trPr>
        <w:tc>
          <w:tcPr>
            <w:tcW w:type="dxa" w:w="2376"/>
            <w:vAlign w:val="center"/>
            <w:tcMar>
              <w:top w:w="80" w:type="dxa"/>
              <w:start w:w="100" w:type="dxa"/>
              <w:bottom w:w="80" w:type="dxa"/>
              <w:end w:w="100" w:type="dxa"/>
            </w:tcMar>
          </w:tcPr>
          <w:p>
            <w:pPr>
              <w:spacing w:after="0" w:before="0"/>
            </w:pPr>
            <w:r/>
            <w:r>
              <w:rPr>
                <w:rFonts w:ascii="Aptos" w:hAnsi="Aptos"/>
                <w:b w:val="0"/>
                <w:sz w:val="15"/>
              </w:rPr>
              <w:t>Truth &amp; Confidence</w:t>
            </w:r>
          </w:p>
        </w:tc>
        <w:tc>
          <w:tcPr>
            <w:tcW w:type="dxa" w:w="2376"/>
            <w:vAlign w:val="center"/>
            <w:tcMar>
              <w:top w:w="80" w:type="dxa"/>
              <w:start w:w="100" w:type="dxa"/>
              <w:bottom w:w="80" w:type="dxa"/>
              <w:end w:w="100" w:type="dxa"/>
            </w:tcMar>
          </w:tcPr>
          <w:p>
            <w:pPr>
              <w:spacing w:after="0" w:before="0"/>
            </w:pPr>
            <w:r/>
            <w:r>
              <w:rPr>
                <w:rFonts w:ascii="Aptos" w:hAnsi="Aptos"/>
                <w:b w:val="0"/>
                <w:sz w:val="15"/>
              </w:rPr>
              <w:t>None by default</w:t>
            </w:r>
          </w:p>
        </w:tc>
        <w:tc>
          <w:tcPr>
            <w:tcW w:type="dxa" w:w="5472"/>
            <w:vAlign w:val="center"/>
            <w:tcMar>
              <w:top w:w="80" w:type="dxa"/>
              <w:start w:w="100" w:type="dxa"/>
              <w:bottom w:w="80" w:type="dxa"/>
              <w:end w:w="100" w:type="dxa"/>
            </w:tcMar>
          </w:tcPr>
          <w:p>
            <w:pPr>
              <w:spacing w:after="0" w:before="0"/>
            </w:pPr>
            <w:r/>
            <w:r>
              <w:rPr>
                <w:rFonts w:ascii="Aptos" w:hAnsi="Aptos"/>
                <w:b w:val="0"/>
                <w:sz w:val="15"/>
              </w:rPr>
              <w:t>Structured response assembled in memory; optional encrypted evidence references only</w:t>
            </w:r>
          </w:p>
        </w:tc>
      </w:tr>
      <w:tr>
        <w:trPr>
          <w:cantSplit/>
        </w:trPr>
        <w:tc>
          <w:tcPr>
            <w:tcW w:type="dxa" w:w="2376"/>
            <w:vAlign w:val="center"/>
            <w:tcMar>
              <w:top w:w="80" w:type="dxa"/>
              <w:start w:w="100" w:type="dxa"/>
              <w:bottom w:w="80" w:type="dxa"/>
              <w:end w:w="100" w:type="dxa"/>
            </w:tcMar>
            <w:shd w:fill="F3F6F9"/>
          </w:tcPr>
          <w:p>
            <w:pPr>
              <w:spacing w:after="0" w:before="0"/>
            </w:pPr>
            <w:r/>
            <w:r>
              <w:rPr>
                <w:rFonts w:ascii="Aptos" w:hAnsi="Aptos"/>
                <w:b w:val="0"/>
                <w:sz w:val="15"/>
              </w:rPr>
              <w:t>Audit Management</w:t>
            </w:r>
          </w:p>
        </w:tc>
        <w:tc>
          <w:tcPr>
            <w:tcW w:type="dxa" w:w="2376"/>
            <w:vAlign w:val="center"/>
            <w:tcMar>
              <w:top w:w="80" w:type="dxa"/>
              <w:start w:w="100" w:type="dxa"/>
              <w:bottom w:w="80" w:type="dxa"/>
              <w:end w:w="100" w:type="dxa"/>
            </w:tcMar>
            <w:shd w:fill="F3F6F9"/>
          </w:tcPr>
          <w:p>
            <w:pPr>
              <w:spacing w:after="0" w:before="0"/>
            </w:pPr>
            <w:r/>
            <w:r>
              <w:rPr>
                <w:rFonts w:ascii="Aptos" w:hAnsi="Aptos"/>
                <w:b w:val="0"/>
                <w:sz w:val="15"/>
              </w:rPr>
              <w:t>audit_store / customer SIEM</w:t>
            </w:r>
          </w:p>
        </w:tc>
        <w:tc>
          <w:tcPr>
            <w:tcW w:type="dxa" w:w="5472"/>
            <w:vAlign w:val="center"/>
            <w:tcMar>
              <w:top w:w="80" w:type="dxa"/>
              <w:start w:w="100" w:type="dxa"/>
              <w:bottom w:w="80" w:type="dxa"/>
              <w:end w:w="100" w:type="dxa"/>
            </w:tcMar>
            <w:shd w:fill="F3F6F9"/>
          </w:tcPr>
          <w:p>
            <w:pPr>
              <w:spacing w:after="0" w:before="0"/>
            </w:pPr>
            <w:r/>
            <w:r>
              <w:rPr>
                <w:rFonts w:ascii="Aptos" w:hAnsi="Aptos"/>
                <w:b w:val="0"/>
                <w:sz w:val="15"/>
              </w:rPr>
              <w:t>Append-only audit metadata, delivery checkpoints and event IDs</w:t>
            </w:r>
          </w:p>
        </w:tc>
      </w:tr>
      <w:tr>
        <w:trPr>
          <w:cantSplit/>
        </w:trPr>
        <w:tc>
          <w:tcPr>
            <w:tcW w:type="dxa" w:w="2376"/>
            <w:vAlign w:val="center"/>
            <w:tcMar>
              <w:top w:w="80" w:type="dxa"/>
              <w:start w:w="100" w:type="dxa"/>
              <w:bottom w:w="80" w:type="dxa"/>
              <w:end w:w="100" w:type="dxa"/>
            </w:tcMar>
          </w:tcPr>
          <w:p>
            <w:pPr>
              <w:spacing w:after="0" w:before="0"/>
            </w:pPr>
            <w:r/>
            <w:r>
              <w:rPr>
                <w:rFonts w:ascii="Aptos" w:hAnsi="Aptos"/>
                <w:b w:val="0"/>
                <w:sz w:val="15"/>
              </w:rPr>
              <w:t>Integration Health</w:t>
            </w:r>
          </w:p>
        </w:tc>
        <w:tc>
          <w:tcPr>
            <w:tcW w:type="dxa" w:w="2376"/>
            <w:vAlign w:val="center"/>
            <w:tcMar>
              <w:top w:w="80" w:type="dxa"/>
              <w:start w:w="100" w:type="dxa"/>
              <w:bottom w:w="80" w:type="dxa"/>
              <w:end w:w="100" w:type="dxa"/>
            </w:tcMar>
          </w:tcPr>
          <w:p>
            <w:pPr>
              <w:spacing w:after="0" w:before="0"/>
            </w:pPr>
            <w:r/>
            <w:r>
              <w:rPr>
                <w:rFonts w:ascii="Aptos" w:hAnsi="Aptos"/>
                <w:b w:val="0"/>
                <w:sz w:val="15"/>
              </w:rPr>
              <w:t>integration_health_db</w:t>
            </w:r>
          </w:p>
        </w:tc>
        <w:tc>
          <w:tcPr>
            <w:tcW w:type="dxa" w:w="5472"/>
            <w:vAlign w:val="center"/>
            <w:tcMar>
              <w:top w:w="80" w:type="dxa"/>
              <w:start w:w="100" w:type="dxa"/>
              <w:bottom w:w="80" w:type="dxa"/>
              <w:end w:w="100" w:type="dxa"/>
            </w:tcMar>
          </w:tcPr>
          <w:p>
            <w:pPr>
              <w:spacing w:after="0" w:before="0"/>
            </w:pPr>
            <w:r/>
            <w:r>
              <w:rPr>
                <w:rFonts w:ascii="Aptos" w:hAnsi="Aptos"/>
                <w:b w:val="0"/>
                <w:sz w:val="15"/>
              </w:rPr>
              <w:t>Probe history and current connector state</w:t>
            </w:r>
          </w:p>
        </w:tc>
      </w:tr>
    </w:tbl>
    <w:p>
      <w:pPr>
        <w:spacing w:after="20"/>
      </w:pPr>
    </w:p>
    <w:p>
      <w:pPr>
        <w:spacing w:after="100"/>
      </w:pPr>
      <w:r>
        <w:t>Redis is a cache/session component, not a shared system-of-record database. Vault/KMS is the secrets system of record. The customer remains the system of record for shipments, patients, finance, cluster telemetry and other operational business data.</w:t>
      </w:r>
    </w:p>
    <w:p>
      <w:pPr>
        <w:pStyle w:val="Heading1"/>
        <w:keepNext/>
      </w:pPr>
      <w:r>
        <w:t>7. Security architecture and cross-cutting controls</w:t>
      </w:r>
    </w:p>
    <w:p>
      <w:pPr>
        <w:pStyle w:val="ListBullet"/>
        <w:keepLines/>
        <w:spacing w:after="40"/>
      </w:pPr>
      <w:r>
        <w:t>Identity Provider: use enterprise OIDC/OAuth2 (for example the customer’s IdP or a managed Keycloak deployment). Do not build a custom password/MFA identity provider as an OmniTruth microservice.</w:t>
      </w:r>
    </w:p>
    <w:p>
      <w:pPr>
        <w:pStyle w:val="ListBullet"/>
        <w:keepLines/>
        <w:spacing w:after="40"/>
      </w:pPr>
      <w:r>
        <w:t>User Management: stores application profiles and tenant memberships, not passwords or bearer tokens.</w:t>
      </w:r>
    </w:p>
    <w:p>
      <w:pPr>
        <w:pStyle w:val="ListBullet"/>
        <w:keepLines/>
        <w:spacing w:after="40"/>
      </w:pPr>
      <w:r>
        <w:t>JWT validation: validate issuer, audience, signature and expiry at public service boundaries. Internal service-to-service calls use workload identity/mTLS or signed service tokens.</w:t>
      </w:r>
    </w:p>
    <w:p>
      <w:pPr>
        <w:pStyle w:val="ListBullet"/>
        <w:keepLines/>
        <w:spacing w:after="40"/>
      </w:pPr>
      <w:r>
        <w:t>Tenant isolation: tenant ID from a validated token or trusted workload context is authoritative. Reject mismatched tenant headers.</w:t>
      </w:r>
    </w:p>
    <w:p>
      <w:pPr>
        <w:pStyle w:val="ListBullet"/>
        <w:keepLines/>
        <w:spacing w:after="40"/>
      </w:pPr>
      <w:r>
        <w:t>Authorization: Access Policy is the PDP; MCP Gateway and downstream enforcement points are PEPs. Perform tool-level and record-level checks before fetching data.</w:t>
      </w:r>
    </w:p>
    <w:p>
      <w:pPr>
        <w:pStyle w:val="ListBullet"/>
        <w:keepLines/>
        <w:spacing w:after="40"/>
      </w:pPr>
      <w:r>
        <w:t>Delegated access: propagate end-user identity to customer systems where supported. Avoid a platform-wide master key. If a service credential is unavoidable, scope it narrowly and audit it.</w:t>
      </w:r>
    </w:p>
    <w:p>
      <w:pPr>
        <w:pStyle w:val="ListBullet"/>
        <w:keepLines/>
        <w:spacing w:after="40"/>
      </w:pPr>
      <w:r>
        <w:t>Secrets: Connector Management stores references only; actual secrets are kept in Vault/KMS or customer-native secret storage.</w:t>
      </w:r>
    </w:p>
    <w:p>
      <w:pPr>
        <w:pStyle w:val="ListBullet"/>
        <w:keepLines/>
        <w:spacing w:after="40"/>
      </w:pPr>
      <w:r>
        <w:t>SQL: read-only database credentials, query allowlists, parameterized statements, tenant restrictions and query timeouts.</w:t>
      </w:r>
    </w:p>
    <w:p>
      <w:pPr>
        <w:pStyle w:val="ListBullet"/>
        <w:keepLines/>
        <w:spacing w:after="40"/>
      </w:pPr>
      <w:r>
        <w:t>SpEL: restricted evaluation context; no unrestricted bean resolution, constructors, reflection, arbitrary method invocation or class access.</w:t>
      </w:r>
    </w:p>
    <w:p>
      <w:pPr>
        <w:pStyle w:val="ListBullet"/>
        <w:keepLines/>
        <w:spacing w:after="40"/>
      </w:pPr>
      <w:r>
        <w:t>Privacy: PII masking and PCI/PAN exclusion happen before evidence and audit generation. Never log raw payloads, credentials or access tokens.</w:t>
      </w:r>
    </w:p>
    <w:p>
      <w:pPr>
        <w:pStyle w:val="ListBullet"/>
        <w:keepLines/>
        <w:spacing w:after="40"/>
      </w:pPr>
      <w:r>
        <w:t>Transport: TLS 1.3 externally and internally where supported; mTLS or equivalent workload authentication for internal service calls.</w:t>
      </w:r>
    </w:p>
    <w:p>
      <w:pPr>
        <w:pStyle w:val="ListBullet"/>
        <w:keepLines/>
        <w:spacing w:after="40"/>
      </w:pPr>
      <w:r>
        <w:t>Audit: immutable/append-only handling, event IDs, hash/result references and tenant-owned retention/forwarding.</w:t>
      </w:r>
    </w:p>
    <w:p>
      <w:pPr>
        <w:pStyle w:val="Heading1"/>
        <w:keepNext/>
      </w:pPr>
      <w:r>
        <w:t>8. Patterns by service — quick reference</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3024"/>
            <w:vAlign w:val="center"/>
            <w:tcMar>
              <w:top w:w="80" w:type="dxa"/>
              <w:start w:w="100" w:type="dxa"/>
              <w:bottom w:w="80" w:type="dxa"/>
              <w:end w:w="100" w:type="dxa"/>
            </w:tcMar>
            <w:shd w:fill="17365D"/>
          </w:tcPr>
          <w:p>
            <w:pPr>
              <w:spacing w:after="0" w:before="0"/>
            </w:pPr>
            <w:r/>
            <w:r>
              <w:rPr>
                <w:rFonts w:ascii="Aptos" w:hAnsi="Aptos"/>
                <w:b/>
                <w:color w:val="FFFFFF"/>
                <w:sz w:val="15"/>
              </w:rPr>
              <w:t>Service</w:t>
            </w:r>
          </w:p>
        </w:tc>
        <w:tc>
          <w:tcPr>
            <w:tcW w:type="dxa" w:w="7200"/>
            <w:vAlign w:val="center"/>
            <w:tcMar>
              <w:top w:w="80" w:type="dxa"/>
              <w:start w:w="100" w:type="dxa"/>
              <w:bottom w:w="80" w:type="dxa"/>
              <w:end w:w="100" w:type="dxa"/>
            </w:tcMar>
            <w:shd w:fill="17365D"/>
          </w:tcPr>
          <w:p>
            <w:pPr>
              <w:spacing w:after="0" w:before="0"/>
            </w:pPr>
            <w:r/>
            <w:r>
              <w:rPr>
                <w:rFonts w:ascii="Aptos" w:hAnsi="Aptos"/>
                <w:b/>
                <w:color w:val="FFFFFF"/>
                <w:sz w:val="15"/>
              </w:rPr>
              <w:t>Primary patterns</w:t>
            </w:r>
          </w:p>
        </w:tc>
      </w:tr>
      <w:tr>
        <w:trPr>
          <w:cantSplit/>
        </w:trPr>
        <w:tc>
          <w:tcPr>
            <w:tcW w:type="dxa" w:w="3024"/>
            <w:vAlign w:val="center"/>
            <w:tcMar>
              <w:top w:w="80" w:type="dxa"/>
              <w:start w:w="100" w:type="dxa"/>
              <w:bottom w:w="80" w:type="dxa"/>
              <w:end w:w="100" w:type="dxa"/>
            </w:tcMar>
            <w:shd w:fill="F3F6F9"/>
          </w:tcPr>
          <w:p>
            <w:pPr>
              <w:spacing w:after="0" w:before="0"/>
            </w:pPr>
            <w:r/>
            <w:r>
              <w:rPr>
                <w:rFonts w:ascii="Aptos" w:hAnsi="Aptos"/>
                <w:b w:val="0"/>
                <w:sz w:val="15"/>
              </w:rPr>
              <w:t>Tenant Management</w:t>
            </w:r>
          </w:p>
        </w:tc>
        <w:tc>
          <w:tcPr>
            <w:tcW w:type="dxa" w:w="7200"/>
            <w:vAlign w:val="center"/>
            <w:tcMar>
              <w:top w:w="80" w:type="dxa"/>
              <w:start w:w="100" w:type="dxa"/>
              <w:bottom w:w="80" w:type="dxa"/>
              <w:end w:w="100" w:type="dxa"/>
            </w:tcMar>
            <w:shd w:fill="F3F6F9"/>
          </w:tcPr>
          <w:p>
            <w:pPr>
              <w:spacing w:after="0" w:before="0"/>
            </w:pPr>
            <w:r/>
            <w:r>
              <w:rPr>
                <w:rFonts w:ascii="Aptos" w:hAnsi="Aptos"/>
                <w:b w:val="0"/>
                <w:sz w:val="15"/>
              </w:rPr>
              <w:t>DDD Aggregate, Repository, Specification, Domain Events + Outbox</w:t>
            </w:r>
          </w:p>
        </w:tc>
      </w:tr>
      <w:tr>
        <w:trPr>
          <w:cantSplit/>
        </w:trPr>
        <w:tc>
          <w:tcPr>
            <w:tcW w:type="dxa" w:w="3024"/>
            <w:vAlign w:val="center"/>
            <w:tcMar>
              <w:top w:w="80" w:type="dxa"/>
              <w:start w:w="100" w:type="dxa"/>
              <w:bottom w:w="80" w:type="dxa"/>
              <w:end w:w="100" w:type="dxa"/>
            </w:tcMar>
          </w:tcPr>
          <w:p>
            <w:pPr>
              <w:spacing w:after="0" w:before="0"/>
            </w:pPr>
            <w:r/>
            <w:r>
              <w:rPr>
                <w:rFonts w:ascii="Aptos" w:hAnsi="Aptos"/>
                <w:b w:val="0"/>
                <w:sz w:val="15"/>
              </w:rPr>
              <w:t>User Management</w:t>
            </w:r>
          </w:p>
        </w:tc>
        <w:tc>
          <w:tcPr>
            <w:tcW w:type="dxa" w:w="7200"/>
            <w:vAlign w:val="center"/>
            <w:tcMar>
              <w:top w:w="80" w:type="dxa"/>
              <w:start w:w="100" w:type="dxa"/>
              <w:bottom w:w="80" w:type="dxa"/>
              <w:end w:w="100" w:type="dxa"/>
            </w:tcMar>
          </w:tcPr>
          <w:p>
            <w:pPr>
              <w:spacing w:after="0" w:before="0"/>
            </w:pPr>
            <w:r/>
            <w:r>
              <w:rPr>
                <w:rFonts w:ascii="Aptos" w:hAnsi="Aptos"/>
                <w:b w:val="0"/>
                <w:sz w:val="15"/>
              </w:rPr>
              <w:t>DDD Aggregate, Identity Provider Adapter, Repository, CQRS-lite, Domain Events</w:t>
            </w:r>
          </w:p>
        </w:tc>
      </w:tr>
      <w:tr>
        <w:trPr>
          <w:cantSplit/>
        </w:trPr>
        <w:tc>
          <w:tcPr>
            <w:tcW w:type="dxa" w:w="3024"/>
            <w:vAlign w:val="center"/>
            <w:tcMar>
              <w:top w:w="80" w:type="dxa"/>
              <w:start w:w="100" w:type="dxa"/>
              <w:bottom w:w="80" w:type="dxa"/>
              <w:end w:w="100" w:type="dxa"/>
            </w:tcMar>
            <w:shd w:fill="F3F6F9"/>
          </w:tcPr>
          <w:p>
            <w:pPr>
              <w:spacing w:after="0" w:before="0"/>
            </w:pPr>
            <w:r/>
            <w:r>
              <w:rPr>
                <w:rFonts w:ascii="Aptos" w:hAnsi="Aptos"/>
                <w:b w:val="0"/>
                <w:sz w:val="15"/>
              </w:rPr>
              <w:t>Access Policy</w:t>
            </w:r>
          </w:p>
        </w:tc>
        <w:tc>
          <w:tcPr>
            <w:tcW w:type="dxa" w:w="7200"/>
            <w:vAlign w:val="center"/>
            <w:tcMar>
              <w:top w:w="80" w:type="dxa"/>
              <w:start w:w="100" w:type="dxa"/>
              <w:bottom w:w="80" w:type="dxa"/>
              <w:end w:w="100" w:type="dxa"/>
            </w:tcMar>
            <w:shd w:fill="F3F6F9"/>
          </w:tcPr>
          <w:p>
            <w:pPr>
              <w:spacing w:after="0" w:before="0"/>
            </w:pPr>
            <w:r/>
            <w:r>
              <w:rPr>
                <w:rFonts w:ascii="Aptos" w:hAnsi="Aptos"/>
                <w:b w:val="0"/>
                <w:sz w:val="15"/>
              </w:rPr>
              <w:t>PDP/PEP, Specification, Chain of Responsibility, Strategy, versioned cache</w:t>
            </w:r>
          </w:p>
        </w:tc>
      </w:tr>
      <w:tr>
        <w:trPr>
          <w:cantSplit/>
        </w:trPr>
        <w:tc>
          <w:tcPr>
            <w:tcW w:type="dxa" w:w="3024"/>
            <w:vAlign w:val="center"/>
            <w:tcMar>
              <w:top w:w="80" w:type="dxa"/>
              <w:start w:w="100" w:type="dxa"/>
              <w:bottom w:w="80" w:type="dxa"/>
              <w:end w:w="100" w:type="dxa"/>
            </w:tcMar>
          </w:tcPr>
          <w:p>
            <w:pPr>
              <w:spacing w:after="0" w:before="0"/>
            </w:pPr>
            <w:r/>
            <w:r>
              <w:rPr>
                <w:rFonts w:ascii="Aptos" w:hAnsi="Aptos"/>
                <w:b w:val="0"/>
                <w:sz w:val="15"/>
              </w:rPr>
              <w:t>Blueprint Management</w:t>
            </w:r>
          </w:p>
        </w:tc>
        <w:tc>
          <w:tcPr>
            <w:tcW w:type="dxa" w:w="7200"/>
            <w:vAlign w:val="center"/>
            <w:tcMar>
              <w:top w:w="80" w:type="dxa"/>
              <w:start w:w="100" w:type="dxa"/>
              <w:bottom w:w="80" w:type="dxa"/>
              <w:end w:w="100" w:type="dxa"/>
            </w:tcMar>
          </w:tcPr>
          <w:p>
            <w:pPr>
              <w:spacing w:after="0" w:before="0"/>
            </w:pPr>
            <w:r/>
            <w:r>
              <w:rPr>
                <w:rFonts w:ascii="Aptos" w:hAnsi="Aptos"/>
                <w:b w:val="0"/>
                <w:sz w:val="15"/>
              </w:rPr>
              <w:t>State, Builder, Specification, Repository, immutable versioning</w:t>
            </w:r>
          </w:p>
        </w:tc>
      </w:tr>
      <w:tr>
        <w:trPr>
          <w:cantSplit/>
        </w:trPr>
        <w:tc>
          <w:tcPr>
            <w:tcW w:type="dxa" w:w="3024"/>
            <w:vAlign w:val="center"/>
            <w:tcMar>
              <w:top w:w="80" w:type="dxa"/>
              <w:start w:w="100" w:type="dxa"/>
              <w:bottom w:w="80" w:type="dxa"/>
              <w:end w:w="100" w:type="dxa"/>
            </w:tcMar>
            <w:shd w:fill="F3F6F9"/>
          </w:tcPr>
          <w:p>
            <w:pPr>
              <w:spacing w:after="0" w:before="0"/>
            </w:pPr>
            <w:r/>
            <w:r>
              <w:rPr>
                <w:rFonts w:ascii="Aptos" w:hAnsi="Aptos"/>
                <w:b w:val="0"/>
                <w:sz w:val="15"/>
              </w:rPr>
              <w:t>Tool Catalog &amp; Publishing</w:t>
            </w:r>
          </w:p>
        </w:tc>
        <w:tc>
          <w:tcPr>
            <w:tcW w:type="dxa" w:w="7200"/>
            <w:vAlign w:val="center"/>
            <w:tcMar>
              <w:top w:w="80" w:type="dxa"/>
              <w:start w:w="100" w:type="dxa"/>
              <w:bottom w:w="80" w:type="dxa"/>
              <w:end w:w="100" w:type="dxa"/>
            </w:tcMar>
            <w:shd w:fill="F3F6F9"/>
          </w:tcPr>
          <w:p>
            <w:pPr>
              <w:spacing w:after="0" w:before="0"/>
            </w:pPr>
            <w:r/>
            <w:r>
              <w:rPr>
                <w:rFonts w:ascii="Aptos" w:hAnsi="Aptos"/>
                <w:b w:val="0"/>
                <w:sz w:val="15"/>
              </w:rPr>
              <w:t>Registry, Factory/Builder, Observer/Pub-Sub, Transactional Outbox</w:t>
            </w:r>
          </w:p>
        </w:tc>
      </w:tr>
      <w:tr>
        <w:trPr>
          <w:cantSplit/>
        </w:trPr>
        <w:tc>
          <w:tcPr>
            <w:tcW w:type="dxa" w:w="3024"/>
            <w:vAlign w:val="center"/>
            <w:tcMar>
              <w:top w:w="80" w:type="dxa"/>
              <w:start w:w="100" w:type="dxa"/>
              <w:bottom w:w="80" w:type="dxa"/>
              <w:end w:w="100" w:type="dxa"/>
            </w:tcMar>
          </w:tcPr>
          <w:p>
            <w:pPr>
              <w:spacing w:after="0" w:before="0"/>
            </w:pPr>
            <w:r/>
            <w:r>
              <w:rPr>
                <w:rFonts w:ascii="Aptos" w:hAnsi="Aptos"/>
                <w:b w:val="0"/>
                <w:sz w:val="15"/>
              </w:rPr>
              <w:t>Connector Management</w:t>
            </w:r>
          </w:p>
        </w:tc>
        <w:tc>
          <w:tcPr>
            <w:tcW w:type="dxa" w:w="7200"/>
            <w:vAlign w:val="center"/>
            <w:tcMar>
              <w:top w:w="80" w:type="dxa"/>
              <w:start w:w="100" w:type="dxa"/>
              <w:bottom w:w="80" w:type="dxa"/>
              <w:end w:w="100" w:type="dxa"/>
            </w:tcMar>
          </w:tcPr>
          <w:p>
            <w:pPr>
              <w:spacing w:after="0" w:before="0"/>
            </w:pPr>
            <w:r/>
            <w:r>
              <w:rPr>
                <w:rFonts w:ascii="Aptos" w:hAnsi="Aptos"/>
                <w:b w:val="0"/>
                <w:sz w:val="15"/>
              </w:rPr>
              <w:t>Abstract Factory, Strategy, Builder, Specification</w:t>
            </w:r>
          </w:p>
        </w:tc>
      </w:tr>
      <w:tr>
        <w:trPr>
          <w:cantSplit/>
        </w:trPr>
        <w:tc>
          <w:tcPr>
            <w:tcW w:type="dxa" w:w="3024"/>
            <w:vAlign w:val="center"/>
            <w:tcMar>
              <w:top w:w="80" w:type="dxa"/>
              <w:start w:w="100" w:type="dxa"/>
              <w:bottom w:w="80" w:type="dxa"/>
              <w:end w:w="100" w:type="dxa"/>
            </w:tcMar>
            <w:shd w:fill="F3F6F9"/>
          </w:tcPr>
          <w:p>
            <w:pPr>
              <w:spacing w:after="0" w:before="0"/>
            </w:pPr>
            <w:r/>
            <w:r>
              <w:rPr>
                <w:rFonts w:ascii="Aptos" w:hAnsi="Aptos"/>
                <w:b w:val="0"/>
                <w:sz w:val="15"/>
              </w:rPr>
              <w:t>MCP Protocol Gateway</w:t>
            </w:r>
          </w:p>
        </w:tc>
        <w:tc>
          <w:tcPr>
            <w:tcW w:type="dxa" w:w="7200"/>
            <w:vAlign w:val="center"/>
            <w:tcMar>
              <w:top w:w="80" w:type="dxa"/>
              <w:start w:w="100" w:type="dxa"/>
              <w:bottom w:w="80" w:type="dxa"/>
              <w:end w:w="100" w:type="dxa"/>
            </w:tcMar>
            <w:shd w:fill="F3F6F9"/>
          </w:tcPr>
          <w:p>
            <w:pPr>
              <w:spacing w:after="0" w:before="0"/>
            </w:pPr>
            <w:r/>
            <w:r>
              <w:rPr>
                <w:rFonts w:ascii="Aptos" w:hAnsi="Aptos"/>
                <w:b w:val="0"/>
                <w:sz w:val="15"/>
              </w:rPr>
              <w:t>Hexagonal Architecture, Adapter, Facade, Registry projection</w:t>
            </w:r>
          </w:p>
        </w:tc>
      </w:tr>
      <w:tr>
        <w:trPr>
          <w:cantSplit/>
        </w:trPr>
        <w:tc>
          <w:tcPr>
            <w:tcW w:type="dxa" w:w="3024"/>
            <w:vAlign w:val="center"/>
            <w:tcMar>
              <w:top w:w="80" w:type="dxa"/>
              <w:start w:w="100" w:type="dxa"/>
              <w:bottom w:w="80" w:type="dxa"/>
              <w:end w:w="100" w:type="dxa"/>
            </w:tcMar>
          </w:tcPr>
          <w:p>
            <w:pPr>
              <w:spacing w:after="0" w:before="0"/>
            </w:pPr>
            <w:r/>
            <w:r>
              <w:rPr>
                <w:rFonts w:ascii="Aptos" w:hAnsi="Aptos"/>
                <w:b w:val="0"/>
                <w:sz w:val="15"/>
              </w:rPr>
              <w:t>Execution Orchestrator</w:t>
            </w:r>
          </w:p>
        </w:tc>
        <w:tc>
          <w:tcPr>
            <w:tcW w:type="dxa" w:w="7200"/>
            <w:vAlign w:val="center"/>
            <w:tcMar>
              <w:top w:w="80" w:type="dxa"/>
              <w:start w:w="100" w:type="dxa"/>
              <w:bottom w:w="80" w:type="dxa"/>
              <w:end w:w="100" w:type="dxa"/>
            </w:tcMar>
          </w:tcPr>
          <w:p>
            <w:pPr>
              <w:spacing w:after="0" w:before="0"/>
            </w:pPr>
            <w:r/>
            <w:r>
              <w:rPr>
                <w:rFonts w:ascii="Aptos" w:hAnsi="Aptos"/>
                <w:b w:val="0"/>
                <w:sz w:val="15"/>
              </w:rPr>
              <w:t>Orchestrator, Pipeline/Chain of Responsibility, Command; Saga only for long-running flows</w:t>
            </w:r>
          </w:p>
        </w:tc>
      </w:tr>
      <w:tr>
        <w:trPr>
          <w:cantSplit/>
        </w:trPr>
        <w:tc>
          <w:tcPr>
            <w:tcW w:type="dxa" w:w="3024"/>
            <w:vAlign w:val="center"/>
            <w:tcMar>
              <w:top w:w="80" w:type="dxa"/>
              <w:start w:w="100" w:type="dxa"/>
              <w:bottom w:w="80" w:type="dxa"/>
              <w:end w:w="100" w:type="dxa"/>
            </w:tcMar>
            <w:shd w:fill="F3F6F9"/>
          </w:tcPr>
          <w:p>
            <w:pPr>
              <w:spacing w:after="0" w:before="0"/>
            </w:pPr>
            <w:r/>
            <w:r>
              <w:rPr>
                <w:rFonts w:ascii="Aptos" w:hAnsi="Aptos"/>
                <w:b w:val="0"/>
                <w:sz w:val="15"/>
              </w:rPr>
              <w:t>Connector Runtime</w:t>
            </w:r>
          </w:p>
        </w:tc>
        <w:tc>
          <w:tcPr>
            <w:tcW w:type="dxa" w:w="7200"/>
            <w:vAlign w:val="center"/>
            <w:tcMar>
              <w:top w:w="80" w:type="dxa"/>
              <w:start w:w="100" w:type="dxa"/>
              <w:bottom w:w="80" w:type="dxa"/>
              <w:end w:w="100" w:type="dxa"/>
            </w:tcMar>
            <w:shd w:fill="F3F6F9"/>
          </w:tcPr>
          <w:p>
            <w:pPr>
              <w:spacing w:after="0" w:before="0"/>
            </w:pPr>
            <w:r/>
            <w:r>
              <w:rPr>
                <w:rFonts w:ascii="Aptos" w:hAnsi="Aptos"/>
                <w:b w:val="0"/>
                <w:sz w:val="15"/>
              </w:rPr>
              <w:t>Ports &amp; Adapters, Strategy, Adapter, Circuit Breaker, Bulkhead, Retry</w:t>
            </w:r>
          </w:p>
        </w:tc>
      </w:tr>
      <w:tr>
        <w:trPr>
          <w:cantSplit/>
        </w:trPr>
        <w:tc>
          <w:tcPr>
            <w:tcW w:type="dxa" w:w="3024"/>
            <w:vAlign w:val="center"/>
            <w:tcMar>
              <w:top w:w="80" w:type="dxa"/>
              <w:start w:w="100" w:type="dxa"/>
              <w:bottom w:w="80" w:type="dxa"/>
              <w:end w:w="100" w:type="dxa"/>
            </w:tcMar>
          </w:tcPr>
          <w:p>
            <w:pPr>
              <w:spacing w:after="0" w:before="0"/>
            </w:pPr>
            <w:r/>
            <w:r>
              <w:rPr>
                <w:rFonts w:ascii="Aptos" w:hAnsi="Aptos"/>
                <w:b w:val="0"/>
                <w:sz w:val="15"/>
              </w:rPr>
              <w:t>Data Normalization &amp; Privacy</w:t>
            </w:r>
          </w:p>
        </w:tc>
        <w:tc>
          <w:tcPr>
            <w:tcW w:type="dxa" w:w="7200"/>
            <w:vAlign w:val="center"/>
            <w:tcMar>
              <w:top w:w="80" w:type="dxa"/>
              <w:start w:w="100" w:type="dxa"/>
              <w:bottom w:w="80" w:type="dxa"/>
              <w:end w:w="100" w:type="dxa"/>
            </w:tcMar>
          </w:tcPr>
          <w:p>
            <w:pPr>
              <w:spacing w:after="0" w:before="0"/>
            </w:pPr>
            <w:r/>
            <w:r>
              <w:rPr>
                <w:rFonts w:ascii="Aptos" w:hAnsi="Aptos"/>
                <w:b w:val="0"/>
                <w:sz w:val="15"/>
              </w:rPr>
              <w:t>Pipeline, Chain of Responsibility, Strategy, Data Mapper</w:t>
            </w:r>
          </w:p>
        </w:tc>
      </w:tr>
      <w:tr>
        <w:trPr>
          <w:cantSplit/>
        </w:trPr>
        <w:tc>
          <w:tcPr>
            <w:tcW w:type="dxa" w:w="3024"/>
            <w:vAlign w:val="center"/>
            <w:tcMar>
              <w:top w:w="80" w:type="dxa"/>
              <w:start w:w="100" w:type="dxa"/>
              <w:bottom w:w="80" w:type="dxa"/>
              <w:end w:w="100" w:type="dxa"/>
            </w:tcMar>
            <w:shd w:fill="F3F6F9"/>
          </w:tcPr>
          <w:p>
            <w:pPr>
              <w:spacing w:after="0" w:before="0"/>
            </w:pPr>
            <w:r/>
            <w:r>
              <w:rPr>
                <w:rFonts w:ascii="Aptos" w:hAnsi="Aptos"/>
                <w:b w:val="0"/>
                <w:sz w:val="15"/>
              </w:rPr>
              <w:t>Rule Evaluation</w:t>
            </w:r>
          </w:p>
        </w:tc>
        <w:tc>
          <w:tcPr>
            <w:tcW w:type="dxa" w:w="7200"/>
            <w:vAlign w:val="center"/>
            <w:tcMar>
              <w:top w:w="80" w:type="dxa"/>
              <w:start w:w="100" w:type="dxa"/>
              <w:bottom w:w="80" w:type="dxa"/>
              <w:end w:w="100" w:type="dxa"/>
            </w:tcMar>
            <w:shd w:fill="F3F6F9"/>
          </w:tcPr>
          <w:p>
            <w:pPr>
              <w:spacing w:after="0" w:before="0"/>
            </w:pPr>
            <w:r/>
            <w:r>
              <w:rPr>
                <w:rFonts w:ascii="Aptos" w:hAnsi="Aptos"/>
                <w:b w:val="0"/>
                <w:sz w:val="15"/>
              </w:rPr>
              <w:t>Interpreter, Specification, Strategy, restricted sandbox</w:t>
            </w:r>
          </w:p>
        </w:tc>
      </w:tr>
      <w:tr>
        <w:trPr>
          <w:cantSplit/>
        </w:trPr>
        <w:tc>
          <w:tcPr>
            <w:tcW w:type="dxa" w:w="3024"/>
            <w:vAlign w:val="center"/>
            <w:tcMar>
              <w:top w:w="80" w:type="dxa"/>
              <w:start w:w="100" w:type="dxa"/>
              <w:bottom w:w="80" w:type="dxa"/>
              <w:end w:w="100" w:type="dxa"/>
            </w:tcMar>
          </w:tcPr>
          <w:p>
            <w:pPr>
              <w:spacing w:after="0" w:before="0"/>
            </w:pPr>
            <w:r/>
            <w:r>
              <w:rPr>
                <w:rFonts w:ascii="Aptos" w:hAnsi="Aptos"/>
                <w:b w:val="0"/>
                <w:sz w:val="15"/>
              </w:rPr>
              <w:t>Truth &amp; Confidence</w:t>
            </w:r>
          </w:p>
        </w:tc>
        <w:tc>
          <w:tcPr>
            <w:tcW w:type="dxa" w:w="7200"/>
            <w:vAlign w:val="center"/>
            <w:tcMar>
              <w:top w:w="80" w:type="dxa"/>
              <w:start w:w="100" w:type="dxa"/>
              <w:bottom w:w="80" w:type="dxa"/>
              <w:end w:w="100" w:type="dxa"/>
            </w:tcMar>
          </w:tcPr>
          <w:p>
            <w:pPr>
              <w:spacing w:after="0" w:before="0"/>
            </w:pPr>
            <w:r/>
            <w:r>
              <w:rPr>
                <w:rFonts w:ascii="Aptos" w:hAnsi="Aptos"/>
                <w:b w:val="0"/>
                <w:sz w:val="15"/>
              </w:rPr>
              <w:t>Builder, Composite, Strategy, Anti-corruption Layer</w:t>
            </w:r>
          </w:p>
        </w:tc>
      </w:tr>
      <w:tr>
        <w:trPr>
          <w:cantSplit/>
        </w:trPr>
        <w:tc>
          <w:tcPr>
            <w:tcW w:type="dxa" w:w="3024"/>
            <w:vAlign w:val="center"/>
            <w:tcMar>
              <w:top w:w="80" w:type="dxa"/>
              <w:start w:w="100" w:type="dxa"/>
              <w:bottom w:w="80" w:type="dxa"/>
              <w:end w:w="100" w:type="dxa"/>
            </w:tcMar>
            <w:shd w:fill="F3F6F9"/>
          </w:tcPr>
          <w:p>
            <w:pPr>
              <w:spacing w:after="0" w:before="0"/>
            </w:pPr>
            <w:r/>
            <w:r>
              <w:rPr>
                <w:rFonts w:ascii="Aptos" w:hAnsi="Aptos"/>
                <w:b w:val="0"/>
                <w:sz w:val="15"/>
              </w:rPr>
              <w:t>Audit Management</w:t>
            </w:r>
          </w:p>
        </w:tc>
        <w:tc>
          <w:tcPr>
            <w:tcW w:type="dxa" w:w="7200"/>
            <w:vAlign w:val="center"/>
            <w:tcMar>
              <w:top w:w="80" w:type="dxa"/>
              <w:start w:w="100" w:type="dxa"/>
              <w:bottom w:w="80" w:type="dxa"/>
              <w:end w:w="100" w:type="dxa"/>
            </w:tcMar>
            <w:shd w:fill="F3F6F9"/>
          </w:tcPr>
          <w:p>
            <w:pPr>
              <w:spacing w:after="0" w:before="0"/>
            </w:pPr>
            <w:r/>
            <w:r>
              <w:rPr>
                <w:rFonts w:ascii="Aptos" w:hAnsi="Aptos"/>
                <w:b w:val="0"/>
                <w:sz w:val="15"/>
              </w:rPr>
              <w:t>Event-Driven Consumer, Transactional Outbox, Idempotent Consumer, Append-only Log, DLQ</w:t>
            </w:r>
          </w:p>
        </w:tc>
      </w:tr>
      <w:tr>
        <w:trPr>
          <w:cantSplit/>
        </w:trPr>
        <w:tc>
          <w:tcPr>
            <w:tcW w:type="dxa" w:w="3024"/>
            <w:vAlign w:val="center"/>
            <w:tcMar>
              <w:top w:w="80" w:type="dxa"/>
              <w:start w:w="100" w:type="dxa"/>
              <w:bottom w:w="80" w:type="dxa"/>
              <w:end w:w="100" w:type="dxa"/>
            </w:tcMar>
          </w:tcPr>
          <w:p>
            <w:pPr>
              <w:spacing w:after="0" w:before="0"/>
            </w:pPr>
            <w:r/>
            <w:r>
              <w:rPr>
                <w:rFonts w:ascii="Aptos" w:hAnsi="Aptos"/>
                <w:b w:val="0"/>
                <w:sz w:val="15"/>
              </w:rPr>
              <w:t>Integration Health</w:t>
            </w:r>
          </w:p>
        </w:tc>
        <w:tc>
          <w:tcPr>
            <w:tcW w:type="dxa" w:w="7200"/>
            <w:vAlign w:val="center"/>
            <w:tcMar>
              <w:top w:w="80" w:type="dxa"/>
              <w:start w:w="100" w:type="dxa"/>
              <w:bottom w:w="80" w:type="dxa"/>
              <w:end w:w="100" w:type="dxa"/>
            </w:tcMar>
          </w:tcPr>
          <w:p>
            <w:pPr>
              <w:spacing w:after="0" w:before="0"/>
            </w:pPr>
            <w:r/>
            <w:r>
              <w:rPr>
                <w:rFonts w:ascii="Aptos" w:hAnsi="Aptos"/>
                <w:b w:val="0"/>
                <w:sz w:val="15"/>
              </w:rPr>
              <w:t>Scheduler/Command, Strategy, State, Observer/Pub-Sub, Bulkhead</w:t>
            </w:r>
          </w:p>
        </w:tc>
      </w:tr>
    </w:tbl>
    <w:p>
      <w:pPr>
        <w:spacing w:after="20"/>
      </w:pPr>
    </w:p>
    <w:p>
      <w:pPr>
        <w:pStyle w:val="Heading1"/>
        <w:keepNext/>
      </w:pPr>
      <w:r>
        <w:t>9. Platform components that are not custom business microservices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304"/>
            <w:vAlign w:val="center"/>
            <w:tcMar>
              <w:top w:w="80" w:type="dxa"/>
              <w:start w:w="100" w:type="dxa"/>
              <w:bottom w:w="80" w:type="dxa"/>
              <w:end w:w="100" w:type="dxa"/>
            </w:tcMar>
            <w:shd w:fill="17365D"/>
          </w:tcPr>
          <w:p>
            <w:pPr>
              <w:spacing w:after="0" w:before="0"/>
            </w:pPr>
            <w:r/>
            <w:r>
              <w:rPr>
                <w:rFonts w:ascii="Aptos" w:hAnsi="Aptos"/>
                <w:b/>
                <w:color w:val="FFFFFF"/>
                <w:sz w:val="15"/>
              </w:rPr>
              <w:t>Component</w:t>
            </w:r>
          </w:p>
        </w:tc>
        <w:tc>
          <w:tcPr>
            <w:tcW w:type="dxa" w:w="6912"/>
            <w:vAlign w:val="center"/>
            <w:tcMar>
              <w:top w:w="80" w:type="dxa"/>
              <w:start w:w="100" w:type="dxa"/>
              <w:bottom w:w="80" w:type="dxa"/>
              <w:end w:w="100" w:type="dxa"/>
            </w:tcMar>
            <w:shd w:fill="17365D"/>
          </w:tcPr>
          <w:p>
            <w:pPr>
              <w:spacing w:after="0" w:before="0"/>
            </w:pPr>
            <w:r/>
            <w:r>
              <w:rPr>
                <w:rFonts w:ascii="Aptos" w:hAnsi="Aptos"/>
                <w:b/>
                <w:color w:val="FFFFFF"/>
                <w:sz w:val="15"/>
              </w:rPr>
              <w:t>Recommendation</w:t>
            </w:r>
          </w:p>
        </w:tc>
        <w:tc>
          <w:tcPr>
            <w:tcW w:type="dxa" w:w="1008"/>
            <w:vAlign w:val="center"/>
            <w:tcMar>
              <w:top w:w="80" w:type="dxa"/>
              <w:start w:w="100" w:type="dxa"/>
              <w:bottom w:w="80" w:type="dxa"/>
              <w:end w:w="100" w:type="dxa"/>
            </w:tcMar>
            <w:shd w:fill="17365D"/>
          </w:tcPr>
          <w:p>
            <w:pPr>
              <w:spacing w:after="0" w:before="0"/>
            </w:pPr>
            <w:r/>
            <w:r>
              <w:rPr>
                <w:rFonts w:ascii="Aptos" w:hAnsi="Aptos"/>
                <w:b/>
                <w:color w:val="FFFFFF"/>
                <w:sz w:val="15"/>
              </w:rPr>
              <w:t>Counted?</w:t>
            </w:r>
          </w:p>
        </w:tc>
      </w:tr>
      <w:tr>
        <w:trPr>
          <w:cantSplit/>
        </w:trPr>
        <w:tc>
          <w:tcPr>
            <w:tcW w:type="dxa" w:w="2304"/>
            <w:vAlign w:val="center"/>
            <w:tcMar>
              <w:top w:w="80" w:type="dxa"/>
              <w:start w:w="100" w:type="dxa"/>
              <w:bottom w:w="80" w:type="dxa"/>
              <w:end w:w="100" w:type="dxa"/>
            </w:tcMar>
            <w:shd w:fill="F3F6F9"/>
          </w:tcPr>
          <w:p>
            <w:pPr>
              <w:spacing w:after="0" w:before="0"/>
            </w:pPr>
            <w:r/>
            <w:r>
              <w:rPr>
                <w:rFonts w:ascii="Aptos" w:hAnsi="Aptos"/>
                <w:b w:val="0"/>
                <w:sz w:val="15"/>
              </w:rPr>
              <w:t>API Gateway / Ingress</w:t>
            </w:r>
          </w:p>
        </w:tc>
        <w:tc>
          <w:tcPr>
            <w:tcW w:type="dxa" w:w="6912"/>
            <w:vAlign w:val="center"/>
            <w:tcMar>
              <w:top w:w="80" w:type="dxa"/>
              <w:start w:w="100" w:type="dxa"/>
              <w:bottom w:w="80" w:type="dxa"/>
              <w:end w:w="100" w:type="dxa"/>
            </w:tcMar>
            <w:shd w:fill="F3F6F9"/>
          </w:tcPr>
          <w:p>
            <w:pPr>
              <w:spacing w:after="0" w:before="0"/>
            </w:pPr>
            <w:r/>
            <w:r>
              <w:rPr>
                <w:rFonts w:ascii="Aptos" w:hAnsi="Aptos"/>
                <w:b w:val="0"/>
                <w:sz w:val="15"/>
              </w:rPr>
              <w:t>Use Spring Cloud Gateway, Kong, NGINX or managed gateway for routing, TLS termination, throttling and edge policies.</w:t>
            </w:r>
          </w:p>
        </w:tc>
        <w:tc>
          <w:tcPr>
            <w:tcW w:type="dxa" w:w="1008"/>
            <w:vAlign w:val="center"/>
            <w:tcMar>
              <w:top w:w="80" w:type="dxa"/>
              <w:start w:w="100" w:type="dxa"/>
              <w:bottom w:w="80" w:type="dxa"/>
              <w:end w:w="100" w:type="dxa"/>
            </w:tcMar>
            <w:shd w:fill="F3F6F9"/>
          </w:tcPr>
          <w:p>
            <w:pPr>
              <w:spacing w:after="0" w:before="0"/>
            </w:pPr>
            <w:r/>
            <w:r>
              <w:rPr>
                <w:rFonts w:ascii="Aptos" w:hAnsi="Aptos"/>
                <w:b w:val="0"/>
                <w:sz w:val="15"/>
              </w:rPr>
              <w:t>No</w:t>
            </w:r>
          </w:p>
        </w:tc>
      </w:tr>
      <w:tr>
        <w:trPr>
          <w:cantSplit/>
        </w:trPr>
        <w:tc>
          <w:tcPr>
            <w:tcW w:type="dxa" w:w="2304"/>
            <w:vAlign w:val="center"/>
            <w:tcMar>
              <w:top w:w="80" w:type="dxa"/>
              <w:start w:w="100" w:type="dxa"/>
              <w:bottom w:w="80" w:type="dxa"/>
              <w:end w:w="100" w:type="dxa"/>
            </w:tcMar>
          </w:tcPr>
          <w:p>
            <w:pPr>
              <w:spacing w:after="0" w:before="0"/>
            </w:pPr>
            <w:r/>
            <w:r>
              <w:rPr>
                <w:rFonts w:ascii="Aptos" w:hAnsi="Aptos"/>
                <w:b w:val="0"/>
                <w:sz w:val="15"/>
              </w:rPr>
              <w:t>Identity Provider</w:t>
            </w:r>
          </w:p>
        </w:tc>
        <w:tc>
          <w:tcPr>
            <w:tcW w:type="dxa" w:w="6912"/>
            <w:vAlign w:val="center"/>
            <w:tcMar>
              <w:top w:w="80" w:type="dxa"/>
              <w:start w:w="100" w:type="dxa"/>
              <w:bottom w:w="80" w:type="dxa"/>
              <w:end w:w="100" w:type="dxa"/>
            </w:tcMar>
          </w:tcPr>
          <w:p>
            <w:pPr>
              <w:spacing w:after="0" w:before="0"/>
            </w:pPr>
            <w:r/>
            <w:r>
              <w:rPr>
                <w:rFonts w:ascii="Aptos" w:hAnsi="Aptos"/>
                <w:b w:val="0"/>
                <w:sz w:val="15"/>
              </w:rPr>
              <w:t>Use enterprise OIDC/OAuth2 provider (customer IdP, Keycloak, Entra ID, Okta).</w:t>
            </w:r>
          </w:p>
        </w:tc>
        <w:tc>
          <w:tcPr>
            <w:tcW w:type="dxa" w:w="1008"/>
            <w:vAlign w:val="center"/>
            <w:tcMar>
              <w:top w:w="80" w:type="dxa"/>
              <w:start w:w="100" w:type="dxa"/>
              <w:bottom w:w="80" w:type="dxa"/>
              <w:end w:w="100" w:type="dxa"/>
            </w:tcMar>
          </w:tcPr>
          <w:p>
            <w:pPr>
              <w:spacing w:after="0" w:before="0"/>
            </w:pPr>
            <w:r/>
            <w:r>
              <w:rPr>
                <w:rFonts w:ascii="Aptos" w:hAnsi="Aptos"/>
                <w:b w:val="0"/>
                <w:sz w:val="15"/>
              </w:rPr>
              <w:t>No</w:t>
            </w:r>
          </w:p>
        </w:tc>
      </w:tr>
      <w:tr>
        <w:trPr>
          <w:cantSplit/>
        </w:trPr>
        <w:tc>
          <w:tcPr>
            <w:tcW w:type="dxa" w:w="2304"/>
            <w:vAlign w:val="center"/>
            <w:tcMar>
              <w:top w:w="80" w:type="dxa"/>
              <w:start w:w="100" w:type="dxa"/>
              <w:bottom w:w="80" w:type="dxa"/>
              <w:end w:w="100" w:type="dxa"/>
            </w:tcMar>
            <w:shd w:fill="F3F6F9"/>
          </w:tcPr>
          <w:p>
            <w:pPr>
              <w:spacing w:after="0" w:before="0"/>
            </w:pPr>
            <w:r/>
            <w:r>
              <w:rPr>
                <w:rFonts w:ascii="Aptos" w:hAnsi="Aptos"/>
                <w:b w:val="0"/>
                <w:sz w:val="15"/>
              </w:rPr>
              <w:t>Secrets Manager / KMS</w:t>
            </w:r>
          </w:p>
        </w:tc>
        <w:tc>
          <w:tcPr>
            <w:tcW w:type="dxa" w:w="6912"/>
            <w:vAlign w:val="center"/>
            <w:tcMar>
              <w:top w:w="80" w:type="dxa"/>
              <w:start w:w="100" w:type="dxa"/>
              <w:bottom w:w="80" w:type="dxa"/>
              <w:end w:w="100" w:type="dxa"/>
            </w:tcMar>
            <w:shd w:fill="F3F6F9"/>
          </w:tcPr>
          <w:p>
            <w:pPr>
              <w:spacing w:after="0" w:before="0"/>
            </w:pPr>
            <w:r/>
            <w:r>
              <w:rPr>
                <w:rFonts w:ascii="Aptos" w:hAnsi="Aptos"/>
                <w:b w:val="0"/>
                <w:sz w:val="15"/>
              </w:rPr>
              <w:t>Use Vault or cloud/customer KMS; OmniTruth stores references only.</w:t>
            </w:r>
          </w:p>
        </w:tc>
        <w:tc>
          <w:tcPr>
            <w:tcW w:type="dxa" w:w="1008"/>
            <w:vAlign w:val="center"/>
            <w:tcMar>
              <w:top w:w="80" w:type="dxa"/>
              <w:start w:w="100" w:type="dxa"/>
              <w:bottom w:w="80" w:type="dxa"/>
              <w:end w:w="100" w:type="dxa"/>
            </w:tcMar>
            <w:shd w:fill="F3F6F9"/>
          </w:tcPr>
          <w:p>
            <w:pPr>
              <w:spacing w:after="0" w:before="0"/>
            </w:pPr>
            <w:r/>
            <w:r>
              <w:rPr>
                <w:rFonts w:ascii="Aptos" w:hAnsi="Aptos"/>
                <w:b w:val="0"/>
                <w:sz w:val="15"/>
              </w:rPr>
              <w:t>No</w:t>
            </w:r>
          </w:p>
        </w:tc>
      </w:tr>
      <w:tr>
        <w:trPr>
          <w:cantSplit/>
        </w:trPr>
        <w:tc>
          <w:tcPr>
            <w:tcW w:type="dxa" w:w="2304"/>
            <w:vAlign w:val="center"/>
            <w:tcMar>
              <w:top w:w="80" w:type="dxa"/>
              <w:start w:w="100" w:type="dxa"/>
              <w:bottom w:w="80" w:type="dxa"/>
              <w:end w:w="100" w:type="dxa"/>
            </w:tcMar>
          </w:tcPr>
          <w:p>
            <w:pPr>
              <w:spacing w:after="0" w:before="0"/>
            </w:pPr>
            <w:r/>
            <w:r>
              <w:rPr>
                <w:rFonts w:ascii="Aptos" w:hAnsi="Aptos"/>
                <w:b w:val="0"/>
                <w:sz w:val="15"/>
              </w:rPr>
              <w:t>Message Broker</w:t>
            </w:r>
          </w:p>
        </w:tc>
        <w:tc>
          <w:tcPr>
            <w:tcW w:type="dxa" w:w="6912"/>
            <w:vAlign w:val="center"/>
            <w:tcMar>
              <w:top w:w="80" w:type="dxa"/>
              <w:start w:w="100" w:type="dxa"/>
              <w:bottom w:w="80" w:type="dxa"/>
              <w:end w:w="100" w:type="dxa"/>
            </w:tcMar>
          </w:tcPr>
          <w:p>
            <w:pPr>
              <w:spacing w:after="0" w:before="0"/>
            </w:pPr>
            <w:r/>
            <w:r>
              <w:rPr>
                <w:rFonts w:ascii="Aptos" w:hAnsi="Aptos"/>
                <w:b w:val="0"/>
                <w:sz w:val="15"/>
              </w:rPr>
              <w:t>Choose Kafka for durable high-volume event streams or RabbitMQ for simpler work queues/events.</w:t>
            </w:r>
          </w:p>
        </w:tc>
        <w:tc>
          <w:tcPr>
            <w:tcW w:type="dxa" w:w="1008"/>
            <w:vAlign w:val="center"/>
            <w:tcMar>
              <w:top w:w="80" w:type="dxa"/>
              <w:start w:w="100" w:type="dxa"/>
              <w:bottom w:w="80" w:type="dxa"/>
              <w:end w:w="100" w:type="dxa"/>
            </w:tcMar>
          </w:tcPr>
          <w:p>
            <w:pPr>
              <w:spacing w:after="0" w:before="0"/>
            </w:pPr>
            <w:r/>
            <w:r>
              <w:rPr>
                <w:rFonts w:ascii="Aptos" w:hAnsi="Aptos"/>
                <w:b w:val="0"/>
                <w:sz w:val="15"/>
              </w:rPr>
              <w:t>No</w:t>
            </w:r>
          </w:p>
        </w:tc>
      </w:tr>
      <w:tr>
        <w:trPr>
          <w:cantSplit/>
        </w:trPr>
        <w:tc>
          <w:tcPr>
            <w:tcW w:type="dxa" w:w="2304"/>
            <w:vAlign w:val="center"/>
            <w:tcMar>
              <w:top w:w="80" w:type="dxa"/>
              <w:start w:w="100" w:type="dxa"/>
              <w:bottom w:w="80" w:type="dxa"/>
              <w:end w:w="100" w:type="dxa"/>
            </w:tcMar>
            <w:shd w:fill="F3F6F9"/>
          </w:tcPr>
          <w:p>
            <w:pPr>
              <w:spacing w:after="0" w:before="0"/>
            </w:pPr>
            <w:r/>
            <w:r>
              <w:rPr>
                <w:rFonts w:ascii="Aptos" w:hAnsi="Aptos"/>
                <w:b w:val="0"/>
                <w:sz w:val="15"/>
              </w:rPr>
              <w:t>Prometheus / Grafana</w:t>
            </w:r>
          </w:p>
        </w:tc>
        <w:tc>
          <w:tcPr>
            <w:tcW w:type="dxa" w:w="6912"/>
            <w:vAlign w:val="center"/>
            <w:tcMar>
              <w:top w:w="80" w:type="dxa"/>
              <w:start w:w="100" w:type="dxa"/>
              <w:bottom w:w="80" w:type="dxa"/>
              <w:end w:w="100" w:type="dxa"/>
            </w:tcMar>
            <w:shd w:fill="F3F6F9"/>
          </w:tcPr>
          <w:p>
            <w:pPr>
              <w:spacing w:after="0" w:before="0"/>
            </w:pPr>
            <w:r/>
            <w:r>
              <w:rPr>
                <w:rFonts w:ascii="Aptos" w:hAnsi="Aptos"/>
                <w:b w:val="0"/>
                <w:sz w:val="15"/>
              </w:rPr>
              <w:t>Metrics and visualization platform; Integration Health owns connector probe semantics.</w:t>
            </w:r>
          </w:p>
        </w:tc>
        <w:tc>
          <w:tcPr>
            <w:tcW w:type="dxa" w:w="1008"/>
            <w:vAlign w:val="center"/>
            <w:tcMar>
              <w:top w:w="80" w:type="dxa"/>
              <w:start w:w="100" w:type="dxa"/>
              <w:bottom w:w="80" w:type="dxa"/>
              <w:end w:w="100" w:type="dxa"/>
            </w:tcMar>
            <w:shd w:fill="F3F6F9"/>
          </w:tcPr>
          <w:p>
            <w:pPr>
              <w:spacing w:after="0" w:before="0"/>
            </w:pPr>
            <w:r/>
            <w:r>
              <w:rPr>
                <w:rFonts w:ascii="Aptos" w:hAnsi="Aptos"/>
                <w:b w:val="0"/>
                <w:sz w:val="15"/>
              </w:rPr>
              <w:t>No</w:t>
            </w:r>
          </w:p>
        </w:tc>
      </w:tr>
      <w:tr>
        <w:trPr>
          <w:cantSplit/>
        </w:trPr>
        <w:tc>
          <w:tcPr>
            <w:tcW w:type="dxa" w:w="2304"/>
            <w:vAlign w:val="center"/>
            <w:tcMar>
              <w:top w:w="80" w:type="dxa"/>
              <w:start w:w="100" w:type="dxa"/>
              <w:bottom w:w="80" w:type="dxa"/>
              <w:end w:w="100" w:type="dxa"/>
            </w:tcMar>
          </w:tcPr>
          <w:p>
            <w:pPr>
              <w:spacing w:after="0" w:before="0"/>
            </w:pPr>
            <w:r/>
            <w:r>
              <w:rPr>
                <w:rFonts w:ascii="Aptos" w:hAnsi="Aptos"/>
                <w:b w:val="0"/>
                <w:sz w:val="15"/>
              </w:rPr>
              <w:t>ELK / Splunk</w:t>
            </w:r>
          </w:p>
        </w:tc>
        <w:tc>
          <w:tcPr>
            <w:tcW w:type="dxa" w:w="6912"/>
            <w:vAlign w:val="center"/>
            <w:tcMar>
              <w:top w:w="80" w:type="dxa"/>
              <w:start w:w="100" w:type="dxa"/>
              <w:bottom w:w="80" w:type="dxa"/>
              <w:end w:w="100" w:type="dxa"/>
            </w:tcMar>
          </w:tcPr>
          <w:p>
            <w:pPr>
              <w:spacing w:after="0" w:before="0"/>
            </w:pPr>
            <w:r/>
            <w:r>
              <w:rPr>
                <w:rFonts w:ascii="Aptos" w:hAnsi="Aptos"/>
                <w:b w:val="0"/>
                <w:sz w:val="15"/>
              </w:rPr>
              <w:t>Customer SIEM/logging destination; Audit Management validates and forwards events.</w:t>
            </w:r>
          </w:p>
        </w:tc>
        <w:tc>
          <w:tcPr>
            <w:tcW w:type="dxa" w:w="1008"/>
            <w:vAlign w:val="center"/>
            <w:tcMar>
              <w:top w:w="80" w:type="dxa"/>
              <w:start w:w="100" w:type="dxa"/>
              <w:bottom w:w="80" w:type="dxa"/>
              <w:end w:w="100" w:type="dxa"/>
            </w:tcMar>
          </w:tcPr>
          <w:p>
            <w:pPr>
              <w:spacing w:after="0" w:before="0"/>
            </w:pPr>
            <w:r/>
            <w:r>
              <w:rPr>
                <w:rFonts w:ascii="Aptos" w:hAnsi="Aptos"/>
                <w:b w:val="0"/>
                <w:sz w:val="15"/>
              </w:rPr>
              <w:t>No</w:t>
            </w:r>
          </w:p>
        </w:tc>
      </w:tr>
      <w:tr>
        <w:trPr>
          <w:cantSplit/>
        </w:trPr>
        <w:tc>
          <w:tcPr>
            <w:tcW w:type="dxa" w:w="2304"/>
            <w:vAlign w:val="center"/>
            <w:tcMar>
              <w:top w:w="80" w:type="dxa"/>
              <w:start w:w="100" w:type="dxa"/>
              <w:bottom w:w="80" w:type="dxa"/>
              <w:end w:w="100" w:type="dxa"/>
            </w:tcMar>
            <w:shd w:fill="F3F6F9"/>
          </w:tcPr>
          <w:p>
            <w:pPr>
              <w:spacing w:after="0" w:before="0"/>
            </w:pPr>
            <w:r/>
            <w:r>
              <w:rPr>
                <w:rFonts w:ascii="Aptos" w:hAnsi="Aptos"/>
                <w:b w:val="0"/>
                <w:sz w:val="15"/>
              </w:rPr>
              <w:t>Redis</w:t>
            </w:r>
          </w:p>
        </w:tc>
        <w:tc>
          <w:tcPr>
            <w:tcW w:type="dxa" w:w="6912"/>
            <w:vAlign w:val="center"/>
            <w:tcMar>
              <w:top w:w="80" w:type="dxa"/>
              <w:start w:w="100" w:type="dxa"/>
              <w:bottom w:w="80" w:type="dxa"/>
              <w:end w:w="100" w:type="dxa"/>
            </w:tcMar>
            <w:shd w:fill="F3F6F9"/>
          </w:tcPr>
          <w:p>
            <w:pPr>
              <w:spacing w:after="0" w:before="0"/>
            </w:pPr>
            <w:r/>
            <w:r>
              <w:rPr>
                <w:rFonts w:ascii="Aptos" w:hAnsi="Aptos"/>
                <w:b w:val="0"/>
                <w:sz w:val="15"/>
              </w:rPr>
              <w:t>Optional ephemeral cache/session store, not a shared database.</w:t>
            </w:r>
          </w:p>
        </w:tc>
        <w:tc>
          <w:tcPr>
            <w:tcW w:type="dxa" w:w="1008"/>
            <w:vAlign w:val="center"/>
            <w:tcMar>
              <w:top w:w="80" w:type="dxa"/>
              <w:start w:w="100" w:type="dxa"/>
              <w:bottom w:w="80" w:type="dxa"/>
              <w:end w:w="100" w:type="dxa"/>
            </w:tcMar>
            <w:shd w:fill="F3F6F9"/>
          </w:tcPr>
          <w:p>
            <w:pPr>
              <w:spacing w:after="0" w:before="0"/>
            </w:pPr>
            <w:r/>
            <w:r>
              <w:rPr>
                <w:rFonts w:ascii="Aptos" w:hAnsi="Aptos"/>
                <w:b w:val="0"/>
                <w:sz w:val="15"/>
              </w:rPr>
              <w:t>No</w:t>
            </w:r>
          </w:p>
        </w:tc>
      </w:tr>
      <w:tr>
        <w:trPr>
          <w:cantSplit/>
        </w:trPr>
        <w:tc>
          <w:tcPr>
            <w:tcW w:type="dxa" w:w="2304"/>
            <w:vAlign w:val="center"/>
            <w:tcMar>
              <w:top w:w="80" w:type="dxa"/>
              <w:start w:w="100" w:type="dxa"/>
              <w:bottom w:w="80" w:type="dxa"/>
              <w:end w:w="100" w:type="dxa"/>
            </w:tcMar>
          </w:tcPr>
          <w:p>
            <w:pPr>
              <w:spacing w:after="0" w:before="0"/>
            </w:pPr>
            <w:r/>
            <w:r>
              <w:rPr>
                <w:rFonts w:ascii="Aptos" w:hAnsi="Aptos"/>
                <w:b w:val="0"/>
                <w:sz w:val="15"/>
              </w:rPr>
              <w:t>AI Host / LLM</w:t>
            </w:r>
          </w:p>
        </w:tc>
        <w:tc>
          <w:tcPr>
            <w:tcW w:type="dxa" w:w="6912"/>
            <w:vAlign w:val="center"/>
            <w:tcMar>
              <w:top w:w="80" w:type="dxa"/>
              <w:start w:w="100" w:type="dxa"/>
              <w:bottom w:w="80" w:type="dxa"/>
              <w:end w:w="100" w:type="dxa"/>
            </w:tcMar>
          </w:tcPr>
          <w:p>
            <w:pPr>
              <w:spacing w:after="0" w:before="0"/>
            </w:pPr>
            <w:r/>
            <w:r>
              <w:rPr>
                <w:rFonts w:ascii="Aptos" w:hAnsi="Aptos"/>
                <w:b w:val="0"/>
                <w:sz w:val="15"/>
              </w:rPr>
              <w:t>External MCP client/AI runtime.</w:t>
            </w:r>
          </w:p>
        </w:tc>
        <w:tc>
          <w:tcPr>
            <w:tcW w:type="dxa" w:w="1008"/>
            <w:vAlign w:val="center"/>
            <w:tcMar>
              <w:top w:w="80" w:type="dxa"/>
              <w:start w:w="100" w:type="dxa"/>
              <w:bottom w:w="80" w:type="dxa"/>
              <w:end w:w="100" w:type="dxa"/>
            </w:tcMar>
          </w:tcPr>
          <w:p>
            <w:pPr>
              <w:spacing w:after="0" w:before="0"/>
            </w:pPr>
            <w:r/>
            <w:r>
              <w:rPr>
                <w:rFonts w:ascii="Aptos" w:hAnsi="Aptos"/>
                <w:b w:val="0"/>
                <w:sz w:val="15"/>
              </w:rPr>
              <w:t>No</w:t>
            </w:r>
          </w:p>
        </w:tc>
      </w:tr>
      <w:tr>
        <w:trPr>
          <w:cantSplit/>
        </w:trPr>
        <w:tc>
          <w:tcPr>
            <w:tcW w:type="dxa" w:w="2304"/>
            <w:vAlign w:val="center"/>
            <w:tcMar>
              <w:top w:w="80" w:type="dxa"/>
              <w:start w:w="100" w:type="dxa"/>
              <w:bottom w:w="80" w:type="dxa"/>
              <w:end w:w="100" w:type="dxa"/>
            </w:tcMar>
            <w:shd w:fill="F3F6F9"/>
          </w:tcPr>
          <w:p>
            <w:pPr>
              <w:spacing w:after="0" w:before="0"/>
            </w:pPr>
            <w:r/>
            <w:r>
              <w:rPr>
                <w:rFonts w:ascii="Aptos" w:hAnsi="Aptos"/>
                <w:b w:val="0"/>
                <w:sz w:val="15"/>
              </w:rPr>
              <w:t>Angular Admin / Client Portals</w:t>
            </w:r>
          </w:p>
        </w:tc>
        <w:tc>
          <w:tcPr>
            <w:tcW w:type="dxa" w:w="6912"/>
            <w:vAlign w:val="center"/>
            <w:tcMar>
              <w:top w:w="80" w:type="dxa"/>
              <w:start w:w="100" w:type="dxa"/>
              <w:bottom w:w="80" w:type="dxa"/>
              <w:end w:w="100" w:type="dxa"/>
            </w:tcMar>
            <w:shd w:fill="F3F6F9"/>
          </w:tcPr>
          <w:p>
            <w:pPr>
              <w:spacing w:after="0" w:before="0"/>
            </w:pPr>
            <w:r/>
            <w:r>
              <w:rPr>
                <w:rFonts w:ascii="Aptos" w:hAnsi="Aptos"/>
                <w:b w:val="0"/>
                <w:sz w:val="15"/>
              </w:rPr>
              <w:t>Two frontend applications or separately deployed frontend modules.</w:t>
            </w:r>
          </w:p>
        </w:tc>
        <w:tc>
          <w:tcPr>
            <w:tcW w:type="dxa" w:w="1008"/>
            <w:vAlign w:val="center"/>
            <w:tcMar>
              <w:top w:w="80" w:type="dxa"/>
              <w:start w:w="100" w:type="dxa"/>
              <w:bottom w:w="80" w:type="dxa"/>
              <w:end w:w="100" w:type="dxa"/>
            </w:tcMar>
            <w:shd w:fill="F3F6F9"/>
          </w:tcPr>
          <w:p>
            <w:pPr>
              <w:spacing w:after="0" w:before="0"/>
            </w:pPr>
            <w:r/>
            <w:r>
              <w:rPr>
                <w:rFonts w:ascii="Aptos" w:hAnsi="Aptos"/>
                <w:b w:val="0"/>
                <w:sz w:val="15"/>
              </w:rPr>
              <w:t>No</w:t>
            </w:r>
          </w:p>
        </w:tc>
      </w:tr>
    </w:tbl>
    <w:p>
      <w:pPr>
        <w:spacing w:after="20"/>
      </w:pPr>
    </w:p>
    <w:p>
      <w:pPr>
        <w:pStyle w:val="Heading1"/>
        <w:keepNext/>
      </w:pPr>
      <w:r>
        <w:t>10. Optional future service: Manual Review / Case Management</w:t>
      </w:r>
    </w:p>
    <w:p>
      <w:pPr>
        <w:spacing w:after="100"/>
      </w:pPr>
      <w:r>
        <w:t>The supplied technical specification says that low-confidence results may offer manual review, but it does not define a case lifecycle, reviewer assignment, SLA or approval workflow. Do not count this in the initial 14 until those requirements are confirmed. If manual review becomes a managed business workflow, add a 15th independently deployable Manual Review Service.</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088"/>
            <w:vAlign w:val="center"/>
            <w:tcMar>
              <w:top w:w="80" w:type="dxa"/>
              <w:start w:w="100" w:type="dxa"/>
              <w:bottom w:w="80" w:type="dxa"/>
              <w:end w:w="100" w:type="dxa"/>
            </w:tcMar>
            <w:shd w:fill="17365D"/>
          </w:tcPr>
          <w:p>
            <w:pPr>
              <w:spacing w:after="0" w:before="0"/>
            </w:pPr>
            <w:r/>
            <w:r>
              <w:rPr>
                <w:rFonts w:ascii="Aptos" w:hAnsi="Aptos"/>
                <w:b/>
                <w:color w:val="FFFFFF"/>
                <w:sz w:val="15"/>
              </w:rPr>
              <w:t>Area</w:t>
            </w:r>
          </w:p>
        </w:tc>
        <w:tc>
          <w:tcPr>
            <w:tcW w:type="dxa" w:w="8136"/>
            <w:vAlign w:val="center"/>
            <w:tcMar>
              <w:top w:w="80" w:type="dxa"/>
              <w:start w:w="100" w:type="dxa"/>
              <w:bottom w:w="80" w:type="dxa"/>
              <w:end w:w="100" w:type="dxa"/>
            </w:tcMar>
            <w:shd w:fill="17365D"/>
          </w:tcPr>
          <w:p>
            <w:pPr>
              <w:spacing w:after="0" w:before="0"/>
            </w:pPr>
            <w:r/>
            <w:r>
              <w:rPr>
                <w:rFonts w:ascii="Aptos" w:hAnsi="Aptos"/>
                <w:b/>
                <w:color w:val="FFFFFF"/>
                <w:sz w:val="15"/>
              </w:rPr>
              <w:t>Recommended design</w:t>
            </w:r>
          </w:p>
        </w:tc>
      </w:tr>
      <w:tr>
        <w:trPr>
          <w:cantSplit/>
        </w:trPr>
        <w:tc>
          <w:tcPr>
            <w:tcW w:type="dxa" w:w="2088"/>
            <w:vAlign w:val="center"/>
            <w:tcMar>
              <w:top w:w="80" w:type="dxa"/>
              <w:start w:w="100" w:type="dxa"/>
              <w:bottom w:w="80" w:type="dxa"/>
              <w:end w:w="100" w:type="dxa"/>
            </w:tcMar>
            <w:shd w:fill="F3F6F9"/>
          </w:tcPr>
          <w:p>
            <w:pPr>
              <w:spacing w:after="0" w:before="0"/>
            </w:pPr>
            <w:r/>
            <w:r>
              <w:rPr>
                <w:rFonts w:ascii="Aptos" w:hAnsi="Aptos"/>
                <w:b w:val="0"/>
                <w:sz w:val="15"/>
              </w:rPr>
              <w:t>Responsibilities</w:t>
            </w:r>
          </w:p>
        </w:tc>
        <w:tc>
          <w:tcPr>
            <w:tcW w:type="dxa" w:w="8136"/>
            <w:vAlign w:val="center"/>
            <w:tcMar>
              <w:top w:w="80" w:type="dxa"/>
              <w:start w:w="100" w:type="dxa"/>
              <w:bottom w:w="80" w:type="dxa"/>
              <w:end w:w="100" w:type="dxa"/>
            </w:tcMar>
            <w:shd w:fill="F3F6F9"/>
          </w:tcPr>
          <w:p>
            <w:pPr>
              <w:spacing w:after="0" w:before="0"/>
            </w:pPr>
            <w:r/>
            <w:r>
              <w:rPr>
                <w:rFonts w:ascii="Aptos" w:hAnsi="Aptos"/>
                <w:b w:val="0"/>
                <w:sz w:val="15"/>
              </w:rPr>
              <w:t>Create review cases, assign reviewers, collect evidence references, record decisions, track SLA and close/escalate cases.</w:t>
            </w:r>
          </w:p>
        </w:tc>
      </w:tr>
      <w:tr>
        <w:trPr>
          <w:cantSplit/>
        </w:trPr>
        <w:tc>
          <w:tcPr>
            <w:tcW w:type="dxa" w:w="2088"/>
            <w:vAlign w:val="center"/>
            <w:tcMar>
              <w:top w:w="80" w:type="dxa"/>
              <w:start w:w="100" w:type="dxa"/>
              <w:bottom w:w="80" w:type="dxa"/>
              <w:end w:w="100" w:type="dxa"/>
            </w:tcMar>
          </w:tcPr>
          <w:p>
            <w:pPr>
              <w:spacing w:after="0" w:before="0"/>
            </w:pPr>
            <w:r/>
            <w:r>
              <w:rPr>
                <w:rFonts w:ascii="Aptos" w:hAnsi="Aptos"/>
                <w:b w:val="0"/>
                <w:sz w:val="15"/>
              </w:rPr>
              <w:t>Patterns</w:t>
            </w:r>
          </w:p>
        </w:tc>
        <w:tc>
          <w:tcPr>
            <w:tcW w:type="dxa" w:w="8136"/>
            <w:vAlign w:val="center"/>
            <w:tcMar>
              <w:top w:w="80" w:type="dxa"/>
              <w:start w:w="100" w:type="dxa"/>
              <w:bottom w:w="80" w:type="dxa"/>
              <w:end w:w="100" w:type="dxa"/>
            </w:tcMar>
          </w:tcPr>
          <w:p>
            <w:pPr>
              <w:spacing w:after="0" w:before="0"/>
            </w:pPr>
            <w:r/>
            <w:r>
              <w:rPr>
                <w:rFonts w:ascii="Aptos" w:hAnsi="Aptos"/>
                <w:b w:val="0"/>
                <w:sz w:val="15"/>
              </w:rPr>
              <w:t>State Machine (OPEN → ASSIGNED → IN_REVIEW → APPROVED/REJECTED → CLOSED), Human Task Workflow, Saga for long-running review, Transactional Outbox.</w:t>
            </w:r>
          </w:p>
        </w:tc>
      </w:tr>
      <w:tr>
        <w:trPr>
          <w:cantSplit/>
        </w:trPr>
        <w:tc>
          <w:tcPr>
            <w:tcW w:type="dxa" w:w="2088"/>
            <w:vAlign w:val="center"/>
            <w:tcMar>
              <w:top w:w="80" w:type="dxa"/>
              <w:start w:w="100" w:type="dxa"/>
              <w:bottom w:w="80" w:type="dxa"/>
              <w:end w:w="100" w:type="dxa"/>
            </w:tcMar>
            <w:shd w:fill="F3F6F9"/>
          </w:tcPr>
          <w:p>
            <w:pPr>
              <w:spacing w:after="0" w:before="0"/>
            </w:pPr>
            <w:r/>
            <w:r>
              <w:rPr>
                <w:rFonts w:ascii="Aptos" w:hAnsi="Aptos"/>
                <w:b w:val="0"/>
                <w:sz w:val="15"/>
              </w:rPr>
              <w:t>Data</w:t>
            </w:r>
          </w:p>
        </w:tc>
        <w:tc>
          <w:tcPr>
            <w:tcW w:type="dxa" w:w="8136"/>
            <w:vAlign w:val="center"/>
            <w:tcMar>
              <w:top w:w="80" w:type="dxa"/>
              <w:start w:w="100" w:type="dxa"/>
              <w:bottom w:w="80" w:type="dxa"/>
              <w:end w:w="100" w:type="dxa"/>
            </w:tcMar>
            <w:shd w:fill="F3F6F9"/>
          </w:tcPr>
          <w:p>
            <w:pPr>
              <w:spacing w:after="0" w:before="0"/>
            </w:pPr>
            <w:r/>
            <w:r>
              <w:rPr>
                <w:rFonts w:ascii="Aptos" w:hAnsi="Aptos"/>
                <w:b w:val="0"/>
                <w:sz w:val="15"/>
              </w:rPr>
              <w:t>review_case_db; store references and reviewer decisions, not unnecessary raw customer payloads.</w:t>
            </w:r>
          </w:p>
        </w:tc>
      </w:tr>
      <w:tr>
        <w:trPr>
          <w:cantSplit/>
        </w:trPr>
        <w:tc>
          <w:tcPr>
            <w:tcW w:type="dxa" w:w="2088"/>
            <w:vAlign w:val="center"/>
            <w:tcMar>
              <w:top w:w="80" w:type="dxa"/>
              <w:start w:w="100" w:type="dxa"/>
              <w:bottom w:w="80" w:type="dxa"/>
              <w:end w:w="100" w:type="dxa"/>
            </w:tcMar>
          </w:tcPr>
          <w:p>
            <w:pPr>
              <w:spacing w:after="0" w:before="0"/>
            </w:pPr>
            <w:r/>
            <w:r>
              <w:rPr>
                <w:rFonts w:ascii="Aptos" w:hAnsi="Aptos"/>
                <w:b w:val="0"/>
                <w:sz w:val="15"/>
              </w:rPr>
              <w:t>Events</w:t>
            </w:r>
          </w:p>
        </w:tc>
        <w:tc>
          <w:tcPr>
            <w:tcW w:type="dxa" w:w="8136"/>
            <w:vAlign w:val="center"/>
            <w:tcMar>
              <w:top w:w="80" w:type="dxa"/>
              <w:start w:w="100" w:type="dxa"/>
              <w:bottom w:w="80" w:type="dxa"/>
              <w:end w:w="100" w:type="dxa"/>
            </w:tcMar>
          </w:tcPr>
          <w:p>
            <w:pPr>
              <w:spacing w:after="0" w:before="0"/>
            </w:pPr>
            <w:r/>
            <w:r>
              <w:rPr>
                <w:rFonts w:ascii="Aptos" w:hAnsi="Aptos"/>
                <w:b w:val="0"/>
                <w:sz w:val="15"/>
              </w:rPr>
              <w:t>ManualReviewRequested, ReviewAssigned, ReviewDecisionRecorded, ReviewCaseClosed.</w:t>
            </w:r>
          </w:p>
        </w:tc>
      </w:tr>
      <w:tr>
        <w:trPr>
          <w:cantSplit/>
        </w:trPr>
        <w:tc>
          <w:tcPr>
            <w:tcW w:type="dxa" w:w="2088"/>
            <w:vAlign w:val="center"/>
            <w:tcMar>
              <w:top w:w="80" w:type="dxa"/>
              <w:start w:w="100" w:type="dxa"/>
              <w:bottom w:w="80" w:type="dxa"/>
              <w:end w:w="100" w:type="dxa"/>
            </w:tcMar>
            <w:shd w:fill="F3F6F9"/>
          </w:tcPr>
          <w:p>
            <w:pPr>
              <w:spacing w:after="0" w:before="0"/>
            </w:pPr>
            <w:r/>
            <w:r>
              <w:rPr>
                <w:rFonts w:ascii="Aptos" w:hAnsi="Aptos"/>
                <w:b w:val="0"/>
                <w:sz w:val="15"/>
              </w:rPr>
              <w:t>Integration</w:t>
            </w:r>
          </w:p>
        </w:tc>
        <w:tc>
          <w:tcPr>
            <w:tcW w:type="dxa" w:w="8136"/>
            <w:vAlign w:val="center"/>
            <w:tcMar>
              <w:top w:w="80" w:type="dxa"/>
              <w:start w:w="100" w:type="dxa"/>
              <w:bottom w:w="80" w:type="dxa"/>
              <w:end w:w="100" w:type="dxa"/>
            </w:tcMar>
            <w:shd w:fill="F3F6F9"/>
          </w:tcPr>
          <w:p>
            <w:pPr>
              <w:spacing w:after="0" w:before="0"/>
            </w:pPr>
            <w:r/>
            <w:r>
              <w:rPr>
                <w:rFonts w:ascii="Aptos" w:hAnsi="Aptos"/>
                <w:b w:val="0"/>
                <w:sz w:val="15"/>
              </w:rPr>
              <w:t>Consumes ManualReviewRecommended from Truth &amp; Confidence and returns a review status/event.</w:t>
            </w:r>
          </w:p>
        </w:tc>
      </w:tr>
    </w:tbl>
    <w:p>
      <w:pPr>
        <w:spacing w:after="20"/>
      </w:pPr>
    </w:p>
    <w:p>
      <w:pPr>
        <w:pStyle w:val="Heading1"/>
        <w:keepNext/>
      </w:pPr>
      <w:r>
        <w:t>11. Deployment, repository and operational standards</w:t>
      </w:r>
    </w:p>
    <w:p>
      <w:pPr>
        <w:pStyle w:val="Heading2"/>
        <w:keepNext/>
      </w:pPr>
      <w:r>
        <w:t>11.1 Repository layout</w:t>
      </w:r>
    </w:p>
    <w:p>
      <w:pPr>
        <w:keepLines/>
        <w:spacing w:before="60" w:after="140"/>
        <w:ind w:left="259" w:right="173"/>
        <w:shd w:fill="F2F5F8"/>
      </w:pPr>
      <w:r>
        <w:rPr>
          <w:rFonts w:ascii="Consolas" w:hAnsi="Consolas"/>
          <w:color w:val="23374B"/>
          <w:sz w:val="16"/>
        </w:rPr>
        <w:t>omnitruth-platform/</w:t>
      </w:r>
      <w:r>
        <w:br/>
      </w:r>
      <w:r>
        <w:rPr>
          <w:rFonts w:ascii="Consolas" w:hAnsi="Consolas"/>
          <w:color w:val="23374B"/>
          <w:sz w:val="16"/>
        </w:rPr>
        <w:t xml:space="preserve">  services/</w:t>
      </w:r>
      <w:r>
        <w:br/>
      </w:r>
      <w:r>
        <w:rPr>
          <w:rFonts w:ascii="Consolas" w:hAnsi="Consolas"/>
          <w:color w:val="23374B"/>
          <w:sz w:val="16"/>
        </w:rPr>
        <w:t xml:space="preserve">    tenant-management-service/</w:t>
      </w:r>
      <w:r>
        <w:br/>
      </w:r>
      <w:r>
        <w:rPr>
          <w:rFonts w:ascii="Consolas" w:hAnsi="Consolas"/>
          <w:color w:val="23374B"/>
          <w:sz w:val="16"/>
        </w:rPr>
        <w:t xml:space="preserve">    user-management-service/</w:t>
      </w:r>
      <w:r>
        <w:br/>
      </w:r>
      <w:r>
        <w:rPr>
          <w:rFonts w:ascii="Consolas" w:hAnsi="Consolas"/>
          <w:color w:val="23374B"/>
          <w:sz w:val="16"/>
        </w:rPr>
        <w:t xml:space="preserve">    access-policy-service/</w:t>
      </w:r>
      <w:r>
        <w:br/>
      </w:r>
      <w:r>
        <w:rPr>
          <w:rFonts w:ascii="Consolas" w:hAnsi="Consolas"/>
          <w:color w:val="23374B"/>
          <w:sz w:val="16"/>
        </w:rPr>
        <w:t xml:space="preserve">    blueprint-management-service/</w:t>
      </w:r>
      <w:r>
        <w:br/>
      </w:r>
      <w:r>
        <w:rPr>
          <w:rFonts w:ascii="Consolas" w:hAnsi="Consolas"/>
          <w:color w:val="23374B"/>
          <w:sz w:val="16"/>
        </w:rPr>
        <w:t xml:space="preserve">    tool-catalog-service/</w:t>
      </w:r>
      <w:r>
        <w:br/>
      </w:r>
      <w:r>
        <w:rPr>
          <w:rFonts w:ascii="Consolas" w:hAnsi="Consolas"/>
          <w:color w:val="23374B"/>
          <w:sz w:val="16"/>
        </w:rPr>
        <w:t xml:space="preserve">    connector-management-service/</w:t>
      </w:r>
      <w:r>
        <w:br/>
      </w:r>
      <w:r>
        <w:rPr>
          <w:rFonts w:ascii="Consolas" w:hAnsi="Consolas"/>
          <w:color w:val="23374B"/>
          <w:sz w:val="16"/>
        </w:rPr>
        <w:t xml:space="preserve">    mcp-protocol-gateway/</w:t>
      </w:r>
      <w:r>
        <w:br/>
      </w:r>
      <w:r>
        <w:rPr>
          <w:rFonts w:ascii="Consolas" w:hAnsi="Consolas"/>
          <w:color w:val="23374B"/>
          <w:sz w:val="16"/>
        </w:rPr>
        <w:t xml:space="preserve">    execution-orchestrator-service/</w:t>
      </w:r>
      <w:r>
        <w:br/>
      </w:r>
      <w:r>
        <w:rPr>
          <w:rFonts w:ascii="Consolas" w:hAnsi="Consolas"/>
          <w:color w:val="23374B"/>
          <w:sz w:val="16"/>
        </w:rPr>
        <w:t xml:space="preserve">    connector-runtime-service/</w:t>
      </w:r>
      <w:r>
        <w:br/>
      </w:r>
      <w:r>
        <w:rPr>
          <w:rFonts w:ascii="Consolas" w:hAnsi="Consolas"/>
          <w:color w:val="23374B"/>
          <w:sz w:val="16"/>
        </w:rPr>
        <w:t xml:space="preserve">    data-normalization-privacy-service/</w:t>
      </w:r>
      <w:r>
        <w:br/>
      </w:r>
      <w:r>
        <w:rPr>
          <w:rFonts w:ascii="Consolas" w:hAnsi="Consolas"/>
          <w:color w:val="23374B"/>
          <w:sz w:val="16"/>
        </w:rPr>
        <w:t xml:space="preserve">    rule-evaluation-service/</w:t>
      </w:r>
      <w:r>
        <w:br/>
      </w:r>
      <w:r>
        <w:rPr>
          <w:rFonts w:ascii="Consolas" w:hAnsi="Consolas"/>
          <w:color w:val="23374B"/>
          <w:sz w:val="16"/>
        </w:rPr>
        <w:t xml:space="preserve">    truth-confidence-service/</w:t>
      </w:r>
      <w:r>
        <w:br/>
      </w:r>
      <w:r>
        <w:rPr>
          <w:rFonts w:ascii="Consolas" w:hAnsi="Consolas"/>
          <w:color w:val="23374B"/>
          <w:sz w:val="16"/>
        </w:rPr>
        <w:t xml:space="preserve">    audit-management-service/</w:t>
      </w:r>
      <w:r>
        <w:br/>
      </w:r>
      <w:r>
        <w:rPr>
          <w:rFonts w:ascii="Consolas" w:hAnsi="Consolas"/>
          <w:color w:val="23374B"/>
          <w:sz w:val="16"/>
        </w:rPr>
        <w:t xml:space="preserve">    integration-health-service/</w:t>
      </w:r>
      <w:r>
        <w:br/>
      </w:r>
      <w:r>
        <w:rPr>
          <w:rFonts w:ascii="Consolas" w:hAnsi="Consolas"/>
          <w:color w:val="23374B"/>
          <w:sz w:val="16"/>
        </w:rPr>
        <w:t xml:space="preserve">  frontend/</w:t>
      </w:r>
      <w:r>
        <w:br/>
      </w:r>
      <w:r>
        <w:rPr>
          <w:rFonts w:ascii="Consolas" w:hAnsi="Consolas"/>
          <w:color w:val="23374B"/>
          <w:sz w:val="16"/>
        </w:rPr>
        <w:t xml:space="preserve">    admin-portal/</w:t>
      </w:r>
      <w:r>
        <w:br/>
      </w:r>
      <w:r>
        <w:rPr>
          <w:rFonts w:ascii="Consolas" w:hAnsi="Consolas"/>
          <w:color w:val="23374B"/>
          <w:sz w:val="16"/>
        </w:rPr>
        <w:t xml:space="preserve">    client-portal/</w:t>
      </w:r>
      <w:r>
        <w:br/>
      </w:r>
      <w:r>
        <w:rPr>
          <w:rFonts w:ascii="Consolas" w:hAnsi="Consolas"/>
          <w:color w:val="23374B"/>
          <w:sz w:val="16"/>
        </w:rPr>
        <w:t xml:space="preserve">  platform/</w:t>
      </w:r>
      <w:r>
        <w:br/>
      </w:r>
      <w:r>
        <w:rPr>
          <w:rFonts w:ascii="Consolas" w:hAnsi="Consolas"/>
          <w:color w:val="23374B"/>
          <w:sz w:val="16"/>
        </w:rPr>
        <w:t xml:space="preserve">    api-gateway/</w:t>
      </w:r>
      <w:r>
        <w:br/>
      </w:r>
      <w:r>
        <w:rPr>
          <w:rFonts w:ascii="Consolas" w:hAnsi="Consolas"/>
          <w:color w:val="23374B"/>
          <w:sz w:val="16"/>
        </w:rPr>
        <w:t xml:space="preserve">    identity-provider-config/</w:t>
      </w:r>
      <w:r>
        <w:br/>
      </w:r>
      <w:r>
        <w:rPr>
          <w:rFonts w:ascii="Consolas" w:hAnsi="Consolas"/>
          <w:color w:val="23374B"/>
          <w:sz w:val="16"/>
        </w:rPr>
        <w:t xml:space="preserve">    message-broker/</w:t>
      </w:r>
      <w:r>
        <w:br/>
      </w:r>
      <w:r>
        <w:rPr>
          <w:rFonts w:ascii="Consolas" w:hAnsi="Consolas"/>
          <w:color w:val="23374B"/>
          <w:sz w:val="16"/>
        </w:rPr>
        <w:t xml:space="preserve">    secrets-manager/</w:t>
      </w:r>
      <w:r>
        <w:br/>
      </w:r>
      <w:r>
        <w:rPr>
          <w:rFonts w:ascii="Consolas" w:hAnsi="Consolas"/>
          <w:color w:val="23374B"/>
          <w:sz w:val="16"/>
        </w:rPr>
        <w:t xml:space="preserve">    prometheus/</w:t>
      </w:r>
      <w:r>
        <w:br/>
      </w:r>
      <w:r>
        <w:rPr>
          <w:rFonts w:ascii="Consolas" w:hAnsi="Consolas"/>
          <w:color w:val="23374B"/>
          <w:sz w:val="16"/>
        </w:rPr>
        <w:t xml:space="preserve">    grafana/</w:t>
      </w:r>
      <w:r>
        <w:br/>
      </w:r>
      <w:r>
        <w:rPr>
          <w:rFonts w:ascii="Consolas" w:hAnsi="Consolas"/>
          <w:color w:val="23374B"/>
          <w:sz w:val="16"/>
        </w:rPr>
        <w:t xml:space="preserve">    logging/</w:t>
      </w:r>
      <w:r>
        <w:br/>
      </w:r>
      <w:r>
        <w:rPr>
          <w:rFonts w:ascii="Consolas" w:hAnsi="Consolas"/>
          <w:color w:val="23374B"/>
          <w:sz w:val="16"/>
        </w:rPr>
        <w:t xml:space="preserve">  deploy/</w:t>
      </w:r>
      <w:r>
        <w:br/>
      </w:r>
      <w:r>
        <w:rPr>
          <w:rFonts w:ascii="Consolas" w:hAnsi="Consolas"/>
          <w:color w:val="23374B"/>
          <w:sz w:val="16"/>
        </w:rPr>
        <w:t xml:space="preserve">    docker/</w:t>
      </w:r>
      <w:r>
        <w:br/>
      </w:r>
      <w:r>
        <w:rPr>
          <w:rFonts w:ascii="Consolas" w:hAnsi="Consolas"/>
          <w:color w:val="23374B"/>
          <w:sz w:val="16"/>
        </w:rPr>
        <w:t xml:space="preserve">    kubernetes/</w:t>
      </w:r>
      <w:r>
        <w:br/>
      </w:r>
      <w:r>
        <w:rPr>
          <w:rFonts w:ascii="Consolas" w:hAnsi="Consolas"/>
          <w:color w:val="23374B"/>
          <w:sz w:val="16"/>
        </w:rPr>
        <w:t xml:space="preserve">    helm/</w:t>
      </w:r>
    </w:p>
    <w:p>
      <w:pPr>
        <w:spacing w:after="100"/>
      </w:pPr>
      <w:r>
        <w:t>A monorepo is acceptable, but every service folder must produce its own artifact/container and have its own deployment pipeline, migrations, configuration and operational ownership. A shared repository does not make the services a monolith; shared runtime databases or release trains would.</w:t>
      </w:r>
    </w:p>
    <w:p>
      <w:pPr>
        <w:pStyle w:val="Heading2"/>
        <w:keepNext/>
      </w:pPr>
      <w:r>
        <w:t>11.2 Standard internal structure for every Java service</w:t>
      </w:r>
    </w:p>
    <w:p>
      <w:pPr>
        <w:keepLines/>
        <w:spacing w:before="60" w:after="140"/>
        <w:ind w:left="259" w:right="173"/>
        <w:shd w:fill="F2F5F8"/>
      </w:pPr>
      <w:r>
        <w:rPr>
          <w:rFonts w:ascii="Consolas" w:hAnsi="Consolas"/>
          <w:color w:val="23374B"/>
          <w:sz w:val="16"/>
        </w:rPr>
        <w:t>com.omnitruth.&lt;service&gt;</w:t>
      </w:r>
      <w:r>
        <w:br/>
      </w:r>
      <w:r>
        <w:rPr>
          <w:rFonts w:ascii="Consolas" w:hAnsi="Consolas"/>
          <w:color w:val="23374B"/>
          <w:sz w:val="16"/>
        </w:rPr>
        <w:t xml:space="preserve">  domain/          aggregates, value objects, domain rules, domain events</w:t>
      </w:r>
      <w:r>
        <w:br/>
      </w:r>
      <w:r>
        <w:rPr>
          <w:rFonts w:ascii="Consolas" w:hAnsi="Consolas"/>
          <w:color w:val="23374B"/>
          <w:sz w:val="16"/>
        </w:rPr>
        <w:t xml:space="preserve">  application/     use cases, commands, queries, ports</w:t>
      </w:r>
      <w:r>
        <w:br/>
      </w:r>
      <w:r>
        <w:rPr>
          <w:rFonts w:ascii="Consolas" w:hAnsi="Consolas"/>
          <w:color w:val="23374B"/>
          <w:sz w:val="16"/>
        </w:rPr>
        <w:t xml:space="preserve">  adapters/in/     REST, MCP, message consumers, scheduled jobs</w:t>
      </w:r>
      <w:r>
        <w:br/>
      </w:r>
      <w:r>
        <w:rPr>
          <w:rFonts w:ascii="Consolas" w:hAnsi="Consolas"/>
          <w:color w:val="23374B"/>
          <w:sz w:val="16"/>
        </w:rPr>
        <w:t xml:space="preserve">  adapters/out/    database, broker, IdP, Vault, HTTP/gRPC clients</w:t>
      </w:r>
      <w:r>
        <w:br/>
      </w:r>
      <w:r>
        <w:rPr>
          <w:rFonts w:ascii="Consolas" w:hAnsi="Consolas"/>
          <w:color w:val="23374B"/>
          <w:sz w:val="16"/>
        </w:rPr>
        <w:t xml:space="preserve">  config/          framework and infrastructure configuration</w:t>
      </w:r>
      <w:r>
        <w:br/>
      </w:r>
      <w:r>
        <w:rPr>
          <w:rFonts w:ascii="Consolas" w:hAnsi="Consolas"/>
          <w:color w:val="23374B"/>
          <w:sz w:val="16"/>
        </w:rPr>
        <w:t xml:space="preserve">  observability/   metrics, tracing and health indicators</w:t>
      </w:r>
    </w:p>
    <w:p>
      <w:pPr>
        <w:pStyle w:val="Heading2"/>
        <w:keepNext/>
      </w:pPr>
      <w:r>
        <w:t>11.3 Required operational features</w:t>
      </w:r>
    </w:p>
    <w:p>
      <w:pPr>
        <w:pStyle w:val="ListBullet"/>
        <w:keepLines/>
        <w:spacing w:after="40"/>
      </w:pPr>
      <w:r>
        <w:t>Independent Docker image and Helm deployment per service.</w:t>
      </w:r>
    </w:p>
    <w:p>
      <w:pPr>
        <w:pStyle w:val="ListBullet"/>
        <w:keepLines/>
        <w:spacing w:after="40"/>
      </w:pPr>
      <w:r>
        <w:t>Liveness and readiness probes; graceful shutdown.</w:t>
      </w:r>
    </w:p>
    <w:p>
      <w:pPr>
        <w:pStyle w:val="ListBullet"/>
        <w:keepLines/>
        <w:spacing w:after="40"/>
      </w:pPr>
      <w:r>
        <w:t>Structured JSON logs with traceId, correlationId, tenantId (where safe), serviceName and executionId.</w:t>
      </w:r>
    </w:p>
    <w:p>
      <w:pPr>
        <w:pStyle w:val="ListBullet"/>
        <w:keepLines/>
        <w:spacing w:after="40"/>
      </w:pPr>
      <w:r>
        <w:t>Distributed tracing across synchronous calls and event consumers.</w:t>
      </w:r>
    </w:p>
    <w:p>
      <w:pPr>
        <w:pStyle w:val="ListBullet"/>
        <w:keepLines/>
        <w:spacing w:after="40"/>
      </w:pPr>
      <w:r>
        <w:t>Micrometer metrics exported to Prometheus.</w:t>
      </w:r>
    </w:p>
    <w:p>
      <w:pPr>
        <w:pStyle w:val="ListBullet"/>
        <w:keepLines/>
        <w:spacing w:after="40"/>
      </w:pPr>
      <w:r>
        <w:t>Versioned OpenAPI/internal API contracts and event schemas.</w:t>
      </w:r>
    </w:p>
    <w:p>
      <w:pPr>
        <w:pStyle w:val="ListBullet"/>
        <w:keepLines/>
        <w:spacing w:after="40"/>
      </w:pPr>
      <w:r>
        <w:t>Database migrations owned and run by the service that owns the database.</w:t>
      </w:r>
    </w:p>
    <w:p>
      <w:pPr>
        <w:pStyle w:val="ListBullet"/>
        <w:keepLines/>
        <w:spacing w:after="40"/>
      </w:pPr>
      <w:r>
        <w:t>Contract tests for provider/consumer compatibility.</w:t>
      </w:r>
    </w:p>
    <w:p>
      <w:pPr>
        <w:pStyle w:val="ListBullet"/>
        <w:keepLines/>
        <w:spacing w:after="40"/>
      </w:pPr>
      <w:r>
        <w:t>Idempotency for command/event consumers and safe retry policies.</w:t>
      </w:r>
    </w:p>
    <w:p>
      <w:pPr>
        <w:pStyle w:val="ListBullet"/>
        <w:keepLines/>
        <w:spacing w:after="40"/>
      </w:pPr>
      <w:r>
        <w:t>Resource limits, rate limits, bulkheads, timeout budgets and circuit breakers.</w:t>
      </w:r>
    </w:p>
    <w:p>
      <w:pPr>
        <w:pStyle w:val="Heading1"/>
        <w:keepNext/>
      </w:pPr>
      <w:r>
        <w:t>12. Service dependency matrix</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800"/>
            <w:vAlign w:val="center"/>
            <w:tcMar>
              <w:top w:w="80" w:type="dxa"/>
              <w:start w:w="100" w:type="dxa"/>
              <w:bottom w:w="80" w:type="dxa"/>
              <w:end w:w="100" w:type="dxa"/>
            </w:tcMar>
            <w:shd w:fill="17365D"/>
          </w:tcPr>
          <w:p>
            <w:pPr>
              <w:spacing w:after="0" w:before="0"/>
            </w:pPr>
            <w:r/>
            <w:r>
              <w:rPr>
                <w:rFonts w:ascii="Aptos" w:hAnsi="Aptos"/>
                <w:b/>
                <w:color w:val="FFFFFF"/>
                <w:sz w:val="14"/>
              </w:rPr>
              <w:t>Caller</w:t>
            </w:r>
          </w:p>
        </w:tc>
        <w:tc>
          <w:tcPr>
            <w:tcW w:type="dxa" w:w="4320"/>
            <w:vAlign w:val="center"/>
            <w:tcMar>
              <w:top w:w="80" w:type="dxa"/>
              <w:start w:w="100" w:type="dxa"/>
              <w:bottom w:w="80" w:type="dxa"/>
              <w:end w:w="100" w:type="dxa"/>
            </w:tcMar>
            <w:shd w:fill="17365D"/>
          </w:tcPr>
          <w:p>
            <w:pPr>
              <w:spacing w:after="0" w:before="0"/>
            </w:pPr>
            <w:r/>
            <w:r>
              <w:rPr>
                <w:rFonts w:ascii="Aptos" w:hAnsi="Aptos"/>
                <w:b/>
                <w:color w:val="FFFFFF"/>
                <w:sz w:val="14"/>
              </w:rPr>
              <w:t>Depends on</w:t>
            </w:r>
          </w:p>
        </w:tc>
        <w:tc>
          <w:tcPr>
            <w:tcW w:type="dxa" w:w="4104"/>
            <w:vAlign w:val="center"/>
            <w:tcMar>
              <w:top w:w="80" w:type="dxa"/>
              <w:start w:w="100" w:type="dxa"/>
              <w:bottom w:w="80" w:type="dxa"/>
              <w:end w:w="100" w:type="dxa"/>
            </w:tcMar>
            <w:shd w:fill="17365D"/>
          </w:tcPr>
          <w:p>
            <w:pPr>
              <w:spacing w:after="0" w:before="0"/>
            </w:pPr>
            <w:r/>
            <w:r>
              <w:rPr>
                <w:rFonts w:ascii="Aptos" w:hAnsi="Aptos"/>
                <w:b/>
                <w:color w:val="FFFFFF"/>
                <w:sz w:val="14"/>
              </w:rPr>
              <w:t>Communication</w:t>
            </w:r>
          </w:p>
        </w:tc>
      </w:tr>
      <w:tr>
        <w:trPr>
          <w:cantSplit/>
        </w:trPr>
        <w:tc>
          <w:tcPr>
            <w:tcW w:type="dxa" w:w="1800"/>
            <w:vAlign w:val="center"/>
            <w:tcMar>
              <w:top w:w="80" w:type="dxa"/>
              <w:start w:w="100" w:type="dxa"/>
              <w:bottom w:w="80" w:type="dxa"/>
              <w:end w:w="100" w:type="dxa"/>
            </w:tcMar>
            <w:shd w:fill="F3F6F9"/>
          </w:tcPr>
          <w:p>
            <w:pPr>
              <w:spacing w:after="0" w:before="0"/>
            </w:pPr>
            <w:r/>
            <w:r>
              <w:rPr>
                <w:rFonts w:ascii="Aptos" w:hAnsi="Aptos"/>
                <w:b w:val="0"/>
                <w:sz w:val="14"/>
              </w:rPr>
              <w:t>Admin Portal</w:t>
            </w:r>
          </w:p>
        </w:tc>
        <w:tc>
          <w:tcPr>
            <w:tcW w:type="dxa" w:w="4320"/>
            <w:vAlign w:val="center"/>
            <w:tcMar>
              <w:top w:w="80" w:type="dxa"/>
              <w:start w:w="100" w:type="dxa"/>
              <w:bottom w:w="80" w:type="dxa"/>
              <w:end w:w="100" w:type="dxa"/>
            </w:tcMar>
            <w:shd w:fill="F3F6F9"/>
          </w:tcPr>
          <w:p>
            <w:pPr>
              <w:spacing w:after="0" w:before="0"/>
            </w:pPr>
            <w:r/>
            <w:r>
              <w:rPr>
                <w:rFonts w:ascii="Aptos" w:hAnsi="Aptos"/>
                <w:b w:val="0"/>
                <w:sz w:val="14"/>
              </w:rPr>
              <w:t>API Gateway → Tenant, User, Access Policy, Blueprint, Tool Catalog, Connector Management, Integration Health</w:t>
            </w:r>
          </w:p>
        </w:tc>
        <w:tc>
          <w:tcPr>
            <w:tcW w:type="dxa" w:w="4104"/>
            <w:vAlign w:val="center"/>
            <w:tcMar>
              <w:top w:w="80" w:type="dxa"/>
              <w:start w:w="100" w:type="dxa"/>
              <w:bottom w:w="80" w:type="dxa"/>
              <w:end w:w="100" w:type="dxa"/>
            </w:tcMar>
            <w:shd w:fill="F3F6F9"/>
          </w:tcPr>
          <w:p>
            <w:pPr>
              <w:spacing w:after="0" w:before="0"/>
            </w:pPr>
            <w:r/>
            <w:r>
              <w:rPr>
                <w:rFonts w:ascii="Aptos" w:hAnsi="Aptos"/>
                <w:b w:val="0"/>
                <w:sz w:val="14"/>
              </w:rPr>
              <w:t>HTTPS REST</w:t>
            </w:r>
          </w:p>
        </w:tc>
      </w:tr>
      <w:tr>
        <w:trPr>
          <w:cantSplit/>
        </w:trPr>
        <w:tc>
          <w:tcPr>
            <w:tcW w:type="dxa" w:w="1800"/>
            <w:vAlign w:val="center"/>
            <w:tcMar>
              <w:top w:w="80" w:type="dxa"/>
              <w:start w:w="100" w:type="dxa"/>
              <w:bottom w:w="80" w:type="dxa"/>
              <w:end w:w="100" w:type="dxa"/>
            </w:tcMar>
          </w:tcPr>
          <w:p>
            <w:pPr>
              <w:spacing w:after="0" w:before="0"/>
            </w:pPr>
            <w:r/>
            <w:r>
              <w:rPr>
                <w:rFonts w:ascii="Aptos" w:hAnsi="Aptos"/>
                <w:b w:val="0"/>
                <w:sz w:val="14"/>
              </w:rPr>
              <w:t>MCP Gateway</w:t>
            </w:r>
          </w:p>
        </w:tc>
        <w:tc>
          <w:tcPr>
            <w:tcW w:type="dxa" w:w="4320"/>
            <w:vAlign w:val="center"/>
            <w:tcMar>
              <w:top w:w="80" w:type="dxa"/>
              <w:start w:w="100" w:type="dxa"/>
              <w:bottom w:w="80" w:type="dxa"/>
              <w:end w:w="100" w:type="dxa"/>
            </w:tcMar>
          </w:tcPr>
          <w:p>
            <w:pPr>
              <w:spacing w:after="0" w:before="0"/>
            </w:pPr>
            <w:r/>
            <w:r>
              <w:rPr>
                <w:rFonts w:ascii="Aptos" w:hAnsi="Aptos"/>
                <w:b w:val="0"/>
                <w:sz w:val="14"/>
              </w:rPr>
              <w:t>Access Policy, Tool Catalog snapshot, Execution Orchestrator</w:t>
            </w:r>
          </w:p>
        </w:tc>
        <w:tc>
          <w:tcPr>
            <w:tcW w:type="dxa" w:w="4104"/>
            <w:vAlign w:val="center"/>
            <w:tcMar>
              <w:top w:w="80" w:type="dxa"/>
              <w:start w:w="100" w:type="dxa"/>
              <w:bottom w:w="80" w:type="dxa"/>
              <w:end w:w="100" w:type="dxa"/>
            </w:tcMar>
          </w:tcPr>
          <w:p>
            <w:pPr>
              <w:spacing w:after="0" w:before="0"/>
            </w:pPr>
            <w:r/>
            <w:r>
              <w:rPr>
                <w:rFonts w:ascii="Aptos" w:hAnsi="Aptos"/>
                <w:b w:val="0"/>
                <w:sz w:val="14"/>
              </w:rPr>
              <w:t>gRPC/REST; events for catalog refresh</w:t>
            </w:r>
          </w:p>
        </w:tc>
      </w:tr>
      <w:tr>
        <w:trPr>
          <w:cantSplit/>
        </w:trPr>
        <w:tc>
          <w:tcPr>
            <w:tcW w:type="dxa" w:w="1800"/>
            <w:vAlign w:val="center"/>
            <w:tcMar>
              <w:top w:w="80" w:type="dxa"/>
              <w:start w:w="100" w:type="dxa"/>
              <w:bottom w:w="80" w:type="dxa"/>
              <w:end w:w="100" w:type="dxa"/>
            </w:tcMar>
            <w:shd w:fill="F3F6F9"/>
          </w:tcPr>
          <w:p>
            <w:pPr>
              <w:spacing w:after="0" w:before="0"/>
            </w:pPr>
            <w:r/>
            <w:r>
              <w:rPr>
                <w:rFonts w:ascii="Aptos" w:hAnsi="Aptos"/>
                <w:b w:val="0"/>
                <w:sz w:val="14"/>
              </w:rPr>
              <w:t>Execution Orchestrator</w:t>
            </w:r>
          </w:p>
        </w:tc>
        <w:tc>
          <w:tcPr>
            <w:tcW w:type="dxa" w:w="4320"/>
            <w:vAlign w:val="center"/>
            <w:tcMar>
              <w:top w:w="80" w:type="dxa"/>
              <w:start w:w="100" w:type="dxa"/>
              <w:bottom w:w="80" w:type="dxa"/>
              <w:end w:w="100" w:type="dxa"/>
            </w:tcMar>
            <w:shd w:fill="F3F6F9"/>
          </w:tcPr>
          <w:p>
            <w:pPr>
              <w:spacing w:after="0" w:before="0"/>
            </w:pPr>
            <w:r/>
            <w:r>
              <w:rPr>
                <w:rFonts w:ascii="Aptos" w:hAnsi="Aptos"/>
                <w:b w:val="0"/>
                <w:sz w:val="14"/>
              </w:rPr>
              <w:t>Connector Runtime, Data Normalization, Rule Evaluation, Truth &amp; Confidence</w:t>
            </w:r>
          </w:p>
        </w:tc>
        <w:tc>
          <w:tcPr>
            <w:tcW w:type="dxa" w:w="4104"/>
            <w:vAlign w:val="center"/>
            <w:tcMar>
              <w:top w:w="80" w:type="dxa"/>
              <w:start w:w="100" w:type="dxa"/>
              <w:bottom w:w="80" w:type="dxa"/>
              <w:end w:w="100" w:type="dxa"/>
            </w:tcMar>
            <w:shd w:fill="F3F6F9"/>
          </w:tcPr>
          <w:p>
            <w:pPr>
              <w:spacing w:after="0" w:before="0"/>
            </w:pPr>
            <w:r/>
            <w:r>
              <w:rPr>
                <w:rFonts w:ascii="Aptos" w:hAnsi="Aptos"/>
                <w:b w:val="0"/>
                <w:sz w:val="14"/>
              </w:rPr>
              <w:t>Synchronous internal APIs; bounded deadlines</w:t>
            </w:r>
          </w:p>
        </w:tc>
      </w:tr>
      <w:tr>
        <w:trPr>
          <w:cantSplit/>
        </w:trPr>
        <w:tc>
          <w:tcPr>
            <w:tcW w:type="dxa" w:w="1800"/>
            <w:vAlign w:val="center"/>
            <w:tcMar>
              <w:top w:w="80" w:type="dxa"/>
              <w:start w:w="100" w:type="dxa"/>
              <w:bottom w:w="80" w:type="dxa"/>
              <w:end w:w="100" w:type="dxa"/>
            </w:tcMar>
          </w:tcPr>
          <w:p>
            <w:pPr>
              <w:spacing w:after="0" w:before="0"/>
            </w:pPr>
            <w:r/>
            <w:r>
              <w:rPr>
                <w:rFonts w:ascii="Aptos" w:hAnsi="Aptos"/>
                <w:b w:val="0"/>
                <w:sz w:val="14"/>
              </w:rPr>
              <w:t>Connector Runtime</w:t>
            </w:r>
          </w:p>
        </w:tc>
        <w:tc>
          <w:tcPr>
            <w:tcW w:type="dxa" w:w="4320"/>
            <w:vAlign w:val="center"/>
            <w:tcMar>
              <w:top w:w="80" w:type="dxa"/>
              <w:start w:w="100" w:type="dxa"/>
              <w:bottom w:w="80" w:type="dxa"/>
              <w:end w:w="100" w:type="dxa"/>
            </w:tcMar>
          </w:tcPr>
          <w:p>
            <w:pPr>
              <w:spacing w:after="0" w:before="0"/>
            </w:pPr>
            <w:r/>
            <w:r>
              <w:rPr>
                <w:rFonts w:ascii="Aptos" w:hAnsi="Aptos"/>
                <w:b w:val="0"/>
                <w:sz w:val="14"/>
              </w:rPr>
              <w:t>Connector Management config, Vault/KMS, customer source systems</w:t>
            </w:r>
          </w:p>
        </w:tc>
        <w:tc>
          <w:tcPr>
            <w:tcW w:type="dxa" w:w="4104"/>
            <w:vAlign w:val="center"/>
            <w:tcMar>
              <w:top w:w="80" w:type="dxa"/>
              <w:start w:w="100" w:type="dxa"/>
              <w:bottom w:w="80" w:type="dxa"/>
              <w:end w:w="100" w:type="dxa"/>
            </w:tcMar>
          </w:tcPr>
          <w:p>
            <w:pPr>
              <w:spacing w:after="0" w:before="0"/>
            </w:pPr>
            <w:r/>
            <w:r>
              <w:rPr>
                <w:rFonts w:ascii="Aptos" w:hAnsi="Aptos"/>
                <w:b w:val="0"/>
                <w:sz w:val="14"/>
              </w:rPr>
              <w:t>Config event/cache; outbound HTTPS/JDBC/GraphQL</w:t>
            </w:r>
          </w:p>
        </w:tc>
      </w:tr>
      <w:tr>
        <w:trPr>
          <w:cantSplit/>
        </w:trPr>
        <w:tc>
          <w:tcPr>
            <w:tcW w:type="dxa" w:w="1800"/>
            <w:vAlign w:val="center"/>
            <w:tcMar>
              <w:top w:w="80" w:type="dxa"/>
              <w:start w:w="100" w:type="dxa"/>
              <w:bottom w:w="80" w:type="dxa"/>
              <w:end w:w="100" w:type="dxa"/>
            </w:tcMar>
            <w:shd w:fill="F3F6F9"/>
          </w:tcPr>
          <w:p>
            <w:pPr>
              <w:spacing w:after="0" w:before="0"/>
            </w:pPr>
            <w:r/>
            <w:r>
              <w:rPr>
                <w:rFonts w:ascii="Aptos" w:hAnsi="Aptos"/>
                <w:b w:val="0"/>
                <w:sz w:val="14"/>
              </w:rPr>
              <w:t>Blueprint Management</w:t>
            </w:r>
          </w:p>
        </w:tc>
        <w:tc>
          <w:tcPr>
            <w:tcW w:type="dxa" w:w="4320"/>
            <w:vAlign w:val="center"/>
            <w:tcMar>
              <w:top w:w="80" w:type="dxa"/>
              <w:start w:w="100" w:type="dxa"/>
              <w:bottom w:w="80" w:type="dxa"/>
              <w:end w:w="100" w:type="dxa"/>
            </w:tcMar>
            <w:shd w:fill="F3F6F9"/>
          </w:tcPr>
          <w:p>
            <w:pPr>
              <w:spacing w:after="0" w:before="0"/>
            </w:pPr>
            <w:r/>
            <w:r>
              <w:rPr>
                <w:rFonts w:ascii="Aptos" w:hAnsi="Aptos"/>
                <w:b w:val="0"/>
                <w:sz w:val="14"/>
              </w:rPr>
              <w:t>Connector Management (validation/reference checks), Tool Catalog (publication handoff)</w:t>
            </w:r>
          </w:p>
        </w:tc>
        <w:tc>
          <w:tcPr>
            <w:tcW w:type="dxa" w:w="4104"/>
            <w:vAlign w:val="center"/>
            <w:tcMar>
              <w:top w:w="80" w:type="dxa"/>
              <w:start w:w="100" w:type="dxa"/>
              <w:bottom w:w="80" w:type="dxa"/>
              <w:end w:w="100" w:type="dxa"/>
            </w:tcMar>
            <w:shd w:fill="F3F6F9"/>
          </w:tcPr>
          <w:p>
            <w:pPr>
              <w:spacing w:after="0" w:before="0"/>
            </w:pPr>
            <w:r/>
            <w:r>
              <w:rPr>
                <w:rFonts w:ascii="Aptos" w:hAnsi="Aptos"/>
                <w:b w:val="0"/>
                <w:sz w:val="14"/>
              </w:rPr>
              <w:t>REST/event; avoid distributed transaction</w:t>
            </w:r>
          </w:p>
        </w:tc>
      </w:tr>
      <w:tr>
        <w:trPr>
          <w:cantSplit/>
        </w:trPr>
        <w:tc>
          <w:tcPr>
            <w:tcW w:type="dxa" w:w="1800"/>
            <w:vAlign w:val="center"/>
            <w:tcMar>
              <w:top w:w="80" w:type="dxa"/>
              <w:start w:w="100" w:type="dxa"/>
              <w:bottom w:w="80" w:type="dxa"/>
              <w:end w:w="100" w:type="dxa"/>
            </w:tcMar>
          </w:tcPr>
          <w:p>
            <w:pPr>
              <w:spacing w:after="0" w:before="0"/>
            </w:pPr>
            <w:r/>
            <w:r>
              <w:rPr>
                <w:rFonts w:ascii="Aptos" w:hAnsi="Aptos"/>
                <w:b w:val="0"/>
                <w:sz w:val="14"/>
              </w:rPr>
              <w:t>Tool Catalog</w:t>
            </w:r>
          </w:p>
        </w:tc>
        <w:tc>
          <w:tcPr>
            <w:tcW w:type="dxa" w:w="4320"/>
            <w:vAlign w:val="center"/>
            <w:tcMar>
              <w:top w:w="80" w:type="dxa"/>
              <w:start w:w="100" w:type="dxa"/>
              <w:bottom w:w="80" w:type="dxa"/>
              <w:end w:w="100" w:type="dxa"/>
            </w:tcMar>
          </w:tcPr>
          <w:p>
            <w:pPr>
              <w:spacing w:after="0" w:before="0"/>
            </w:pPr>
            <w:r/>
            <w:r>
              <w:rPr>
                <w:rFonts w:ascii="Aptos" w:hAnsi="Aptos"/>
                <w:b w:val="0"/>
                <w:sz w:val="14"/>
              </w:rPr>
              <w:t>Blueprint Management (published blueprint version), broker</w:t>
            </w:r>
          </w:p>
        </w:tc>
        <w:tc>
          <w:tcPr>
            <w:tcW w:type="dxa" w:w="4104"/>
            <w:vAlign w:val="center"/>
            <w:tcMar>
              <w:top w:w="80" w:type="dxa"/>
              <w:start w:w="100" w:type="dxa"/>
              <w:bottom w:w="80" w:type="dxa"/>
              <w:end w:w="100" w:type="dxa"/>
            </w:tcMar>
          </w:tcPr>
          <w:p>
            <w:pPr>
              <w:spacing w:after="0" w:before="0"/>
            </w:pPr>
            <w:r/>
            <w:r>
              <w:rPr>
                <w:rFonts w:ascii="Aptos" w:hAnsi="Aptos"/>
                <w:b w:val="0"/>
                <w:sz w:val="14"/>
              </w:rPr>
              <w:t>REST + outbox event</w:t>
            </w:r>
          </w:p>
        </w:tc>
      </w:tr>
      <w:tr>
        <w:trPr>
          <w:cantSplit/>
        </w:trPr>
        <w:tc>
          <w:tcPr>
            <w:tcW w:type="dxa" w:w="1800"/>
            <w:vAlign w:val="center"/>
            <w:tcMar>
              <w:top w:w="80" w:type="dxa"/>
              <w:start w:w="100" w:type="dxa"/>
              <w:bottom w:w="80" w:type="dxa"/>
              <w:end w:w="100" w:type="dxa"/>
            </w:tcMar>
            <w:shd w:fill="F3F6F9"/>
          </w:tcPr>
          <w:p>
            <w:pPr>
              <w:spacing w:after="0" w:before="0"/>
            </w:pPr>
            <w:r/>
            <w:r>
              <w:rPr>
                <w:rFonts w:ascii="Aptos" w:hAnsi="Aptos"/>
                <w:b w:val="0"/>
                <w:sz w:val="14"/>
              </w:rPr>
              <w:t>Audit Management</w:t>
            </w:r>
          </w:p>
        </w:tc>
        <w:tc>
          <w:tcPr>
            <w:tcW w:type="dxa" w:w="4320"/>
            <w:vAlign w:val="center"/>
            <w:tcMar>
              <w:top w:w="80" w:type="dxa"/>
              <w:start w:w="100" w:type="dxa"/>
              <w:bottom w:w="80" w:type="dxa"/>
              <w:end w:w="100" w:type="dxa"/>
            </w:tcMar>
            <w:shd w:fill="F3F6F9"/>
          </w:tcPr>
          <w:p>
            <w:pPr>
              <w:spacing w:after="0" w:before="0"/>
            </w:pPr>
            <w:r/>
            <w:r>
              <w:rPr>
                <w:rFonts w:ascii="Aptos" w:hAnsi="Aptos"/>
                <w:b w:val="0"/>
                <w:sz w:val="14"/>
              </w:rPr>
              <w:t>Event broker and customer SIEM</w:t>
            </w:r>
          </w:p>
        </w:tc>
        <w:tc>
          <w:tcPr>
            <w:tcW w:type="dxa" w:w="4104"/>
            <w:vAlign w:val="center"/>
            <w:tcMar>
              <w:top w:w="80" w:type="dxa"/>
              <w:start w:w="100" w:type="dxa"/>
              <w:bottom w:w="80" w:type="dxa"/>
              <w:end w:w="100" w:type="dxa"/>
            </w:tcMar>
            <w:shd w:fill="F3F6F9"/>
          </w:tcPr>
          <w:p>
            <w:pPr>
              <w:spacing w:after="0" w:before="0"/>
            </w:pPr>
            <w:r/>
            <w:r>
              <w:rPr>
                <w:rFonts w:ascii="Aptos" w:hAnsi="Aptos"/>
                <w:b w:val="0"/>
                <w:sz w:val="14"/>
              </w:rPr>
              <w:t>Async event consumption and forwarding</w:t>
            </w:r>
          </w:p>
        </w:tc>
      </w:tr>
      <w:tr>
        <w:trPr>
          <w:cantSplit/>
        </w:trPr>
        <w:tc>
          <w:tcPr>
            <w:tcW w:type="dxa" w:w="1800"/>
            <w:vAlign w:val="center"/>
            <w:tcMar>
              <w:top w:w="80" w:type="dxa"/>
              <w:start w:w="100" w:type="dxa"/>
              <w:bottom w:w="80" w:type="dxa"/>
              <w:end w:w="100" w:type="dxa"/>
            </w:tcMar>
          </w:tcPr>
          <w:p>
            <w:pPr>
              <w:spacing w:after="0" w:before="0"/>
            </w:pPr>
            <w:r/>
            <w:r>
              <w:rPr>
                <w:rFonts w:ascii="Aptos" w:hAnsi="Aptos"/>
                <w:b w:val="0"/>
                <w:sz w:val="14"/>
              </w:rPr>
              <w:t>Integration Health</w:t>
            </w:r>
          </w:p>
        </w:tc>
        <w:tc>
          <w:tcPr>
            <w:tcW w:type="dxa" w:w="4320"/>
            <w:vAlign w:val="center"/>
            <w:tcMar>
              <w:top w:w="80" w:type="dxa"/>
              <w:start w:w="100" w:type="dxa"/>
              <w:bottom w:w="80" w:type="dxa"/>
              <w:end w:w="100" w:type="dxa"/>
            </w:tcMar>
          </w:tcPr>
          <w:p>
            <w:pPr>
              <w:spacing w:after="0" w:before="0"/>
            </w:pPr>
            <w:r/>
            <w:r>
              <w:rPr>
                <w:rFonts w:ascii="Aptos" w:hAnsi="Aptos"/>
                <w:b w:val="0"/>
                <w:sz w:val="14"/>
              </w:rPr>
              <w:t>Connector Runtime, broker, Prometheus</w:t>
            </w:r>
          </w:p>
        </w:tc>
        <w:tc>
          <w:tcPr>
            <w:tcW w:type="dxa" w:w="4104"/>
            <w:vAlign w:val="center"/>
            <w:tcMar>
              <w:top w:w="80" w:type="dxa"/>
              <w:start w:w="100" w:type="dxa"/>
              <w:bottom w:w="80" w:type="dxa"/>
              <w:end w:w="100" w:type="dxa"/>
            </w:tcMar>
          </w:tcPr>
          <w:p>
            <w:pPr>
              <w:spacing w:after="0" w:before="0"/>
            </w:pPr>
            <w:r/>
            <w:r>
              <w:rPr>
                <w:rFonts w:ascii="Aptos" w:hAnsi="Aptos"/>
                <w:b w:val="0"/>
                <w:sz w:val="14"/>
              </w:rPr>
              <w:t>Scheduled probes/API + events/metrics</w:t>
            </w:r>
          </w:p>
        </w:tc>
      </w:tr>
    </w:tbl>
    <w:p>
      <w:pPr>
        <w:spacing w:after="20"/>
      </w:pPr>
    </w:p>
    <w:p>
      <w:pPr>
        <w:spacing w:after="100"/>
      </w:pPr>
      <w:r>
        <w:t>Avoid long synchronous chains in the administration path. For the user-facing execution path, some sequential calls are inherent because a verified answer requires source data, normalization, rule evaluation and evidence assembly. Keep the critical chain small, use gRPC only if benchmarks justify it, and enforce a total deadline.</w:t>
      </w:r>
    </w:p>
    <w:p>
      <w:pPr>
        <w:pStyle w:val="Heading1"/>
        <w:keepNext/>
      </w:pPr>
      <w:r>
        <w:t>13. Implementation phases and acceptance criteria</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800"/>
            <w:vAlign w:val="center"/>
            <w:tcMar>
              <w:top w:w="80" w:type="dxa"/>
              <w:start w:w="100" w:type="dxa"/>
              <w:bottom w:w="80" w:type="dxa"/>
              <w:end w:w="100" w:type="dxa"/>
            </w:tcMar>
            <w:shd w:fill="17365D"/>
          </w:tcPr>
          <w:p>
            <w:pPr>
              <w:spacing w:after="0" w:before="0"/>
            </w:pPr>
            <w:r/>
            <w:r>
              <w:rPr>
                <w:rFonts w:ascii="Aptos" w:hAnsi="Aptos"/>
                <w:b/>
                <w:color w:val="FFFFFF"/>
                <w:sz w:val="15"/>
              </w:rPr>
              <w:t>Phase</w:t>
            </w:r>
          </w:p>
        </w:tc>
        <w:tc>
          <w:tcPr>
            <w:tcW w:type="dxa" w:w="3384"/>
            <w:vAlign w:val="center"/>
            <w:tcMar>
              <w:top w:w="80" w:type="dxa"/>
              <w:start w:w="100" w:type="dxa"/>
              <w:bottom w:w="80" w:type="dxa"/>
              <w:end w:w="100" w:type="dxa"/>
            </w:tcMar>
            <w:shd w:fill="17365D"/>
          </w:tcPr>
          <w:p>
            <w:pPr>
              <w:spacing w:after="0" w:before="0"/>
            </w:pPr>
            <w:r/>
            <w:r>
              <w:rPr>
                <w:rFonts w:ascii="Aptos" w:hAnsi="Aptos"/>
                <w:b/>
                <w:color w:val="FFFFFF"/>
                <w:sz w:val="15"/>
              </w:rPr>
              <w:t>Build</w:t>
            </w:r>
          </w:p>
        </w:tc>
        <w:tc>
          <w:tcPr>
            <w:tcW w:type="dxa" w:w="5040"/>
            <w:vAlign w:val="center"/>
            <w:tcMar>
              <w:top w:w="80" w:type="dxa"/>
              <w:start w:w="100" w:type="dxa"/>
              <w:bottom w:w="80" w:type="dxa"/>
              <w:end w:w="100" w:type="dxa"/>
            </w:tcMar>
            <w:shd w:fill="17365D"/>
          </w:tcPr>
          <w:p>
            <w:pPr>
              <w:spacing w:after="0" w:before="0"/>
            </w:pPr>
            <w:r/>
            <w:r>
              <w:rPr>
                <w:rFonts w:ascii="Aptos" w:hAnsi="Aptos"/>
                <w:b/>
                <w:color w:val="FFFFFF"/>
                <w:sz w:val="15"/>
              </w:rPr>
              <w:t>Exit criteria</w:t>
            </w:r>
          </w:p>
        </w:tc>
      </w:tr>
      <w:tr>
        <w:trPr>
          <w:cantSplit/>
        </w:trPr>
        <w:tc>
          <w:tcPr>
            <w:tcW w:type="dxa" w:w="1800"/>
            <w:vAlign w:val="center"/>
            <w:tcMar>
              <w:top w:w="80" w:type="dxa"/>
              <w:start w:w="100" w:type="dxa"/>
              <w:bottom w:w="80" w:type="dxa"/>
              <w:end w:w="100" w:type="dxa"/>
            </w:tcMar>
            <w:shd w:fill="F3F6F9"/>
          </w:tcPr>
          <w:p>
            <w:pPr>
              <w:spacing w:after="0" w:before="0"/>
            </w:pPr>
            <w:r/>
            <w:r>
              <w:rPr>
                <w:rFonts w:ascii="Aptos" w:hAnsi="Aptos"/>
                <w:b w:val="0"/>
                <w:sz w:val="15"/>
              </w:rPr>
              <w:t>1. Platform foundation</w:t>
            </w:r>
          </w:p>
        </w:tc>
        <w:tc>
          <w:tcPr>
            <w:tcW w:type="dxa" w:w="3384"/>
            <w:vAlign w:val="center"/>
            <w:tcMar>
              <w:top w:w="80" w:type="dxa"/>
              <w:start w:w="100" w:type="dxa"/>
              <w:bottom w:w="80" w:type="dxa"/>
              <w:end w:w="100" w:type="dxa"/>
            </w:tcMar>
            <w:shd w:fill="F3F6F9"/>
          </w:tcPr>
          <w:p>
            <w:pPr>
              <w:spacing w:after="0" w:before="0"/>
            </w:pPr>
            <w:r/>
            <w:r>
              <w:rPr>
                <w:rFonts w:ascii="Aptos" w:hAnsi="Aptos"/>
                <w:b w:val="0"/>
                <w:sz w:val="15"/>
              </w:rPr>
              <w:t>API Gateway, IdP integration, broker, secrets manager, CI/CD and service template.</w:t>
            </w:r>
          </w:p>
        </w:tc>
        <w:tc>
          <w:tcPr>
            <w:tcW w:type="dxa" w:w="5040"/>
            <w:vAlign w:val="center"/>
            <w:tcMar>
              <w:top w:w="80" w:type="dxa"/>
              <w:start w:w="100" w:type="dxa"/>
              <w:bottom w:w="80" w:type="dxa"/>
              <w:end w:w="100" w:type="dxa"/>
            </w:tcMar>
            <w:shd w:fill="F3F6F9"/>
          </w:tcPr>
          <w:p>
            <w:pPr>
              <w:spacing w:after="0" w:before="0"/>
            </w:pPr>
            <w:r/>
            <w:r>
              <w:rPr>
                <w:rFonts w:ascii="Aptos" w:hAnsi="Aptos"/>
                <w:b w:val="0"/>
                <w:sz w:val="15"/>
              </w:rPr>
              <w:t>Every service can build, deploy, expose health endpoints and emit traceable logs.</w:t>
            </w:r>
          </w:p>
        </w:tc>
      </w:tr>
      <w:tr>
        <w:trPr>
          <w:cantSplit/>
        </w:trPr>
        <w:tc>
          <w:tcPr>
            <w:tcW w:type="dxa" w:w="1800"/>
            <w:vAlign w:val="center"/>
            <w:tcMar>
              <w:top w:w="80" w:type="dxa"/>
              <w:start w:w="100" w:type="dxa"/>
              <w:bottom w:w="80" w:type="dxa"/>
              <w:end w:w="100" w:type="dxa"/>
            </w:tcMar>
          </w:tcPr>
          <w:p>
            <w:pPr>
              <w:spacing w:after="0" w:before="0"/>
            </w:pPr>
            <w:r/>
            <w:r>
              <w:rPr>
                <w:rFonts w:ascii="Aptos" w:hAnsi="Aptos"/>
                <w:b w:val="0"/>
                <w:sz w:val="15"/>
              </w:rPr>
              <w:t>2. Tenant and identity</w:t>
            </w:r>
          </w:p>
        </w:tc>
        <w:tc>
          <w:tcPr>
            <w:tcW w:type="dxa" w:w="3384"/>
            <w:vAlign w:val="center"/>
            <w:tcMar>
              <w:top w:w="80" w:type="dxa"/>
              <w:start w:w="100" w:type="dxa"/>
              <w:bottom w:w="80" w:type="dxa"/>
              <w:end w:w="100" w:type="dxa"/>
            </w:tcMar>
          </w:tcPr>
          <w:p>
            <w:pPr>
              <w:spacing w:after="0" w:before="0"/>
            </w:pPr>
            <w:r/>
            <w:r>
              <w:rPr>
                <w:rFonts w:ascii="Aptos" w:hAnsi="Aptos"/>
                <w:b w:val="0"/>
                <w:sz w:val="15"/>
              </w:rPr>
              <w:t>Tenant Management, User Management, Access Policy.</w:t>
            </w:r>
          </w:p>
        </w:tc>
        <w:tc>
          <w:tcPr>
            <w:tcW w:type="dxa" w:w="5040"/>
            <w:vAlign w:val="center"/>
            <w:tcMar>
              <w:top w:w="80" w:type="dxa"/>
              <w:start w:w="100" w:type="dxa"/>
              <w:bottom w:w="80" w:type="dxa"/>
              <w:end w:w="100" w:type="dxa"/>
            </w:tcMar>
          </w:tcPr>
          <w:p>
            <w:pPr>
              <w:spacing w:after="0" w:before="0"/>
            </w:pPr>
            <w:r/>
            <w:r>
              <w:rPr>
                <w:rFonts w:ascii="Aptos" w:hAnsi="Aptos"/>
                <w:b w:val="0"/>
                <w:sz w:val="15"/>
              </w:rPr>
              <w:t>Tenant/user lifecycle works; tool-level and record-level policy decisions are testable.</w:t>
            </w:r>
          </w:p>
        </w:tc>
      </w:tr>
      <w:tr>
        <w:trPr>
          <w:cantSplit/>
        </w:trPr>
        <w:tc>
          <w:tcPr>
            <w:tcW w:type="dxa" w:w="1800"/>
            <w:vAlign w:val="center"/>
            <w:tcMar>
              <w:top w:w="80" w:type="dxa"/>
              <w:start w:w="100" w:type="dxa"/>
              <w:bottom w:w="80" w:type="dxa"/>
              <w:end w:w="100" w:type="dxa"/>
            </w:tcMar>
            <w:shd w:fill="F3F6F9"/>
          </w:tcPr>
          <w:p>
            <w:pPr>
              <w:spacing w:after="0" w:before="0"/>
            </w:pPr>
            <w:r/>
            <w:r>
              <w:rPr>
                <w:rFonts w:ascii="Aptos" w:hAnsi="Aptos"/>
                <w:b w:val="0"/>
                <w:sz w:val="15"/>
              </w:rPr>
              <w:t>3. Configuration plane</w:t>
            </w:r>
          </w:p>
        </w:tc>
        <w:tc>
          <w:tcPr>
            <w:tcW w:type="dxa" w:w="3384"/>
            <w:vAlign w:val="center"/>
            <w:tcMar>
              <w:top w:w="80" w:type="dxa"/>
              <w:start w:w="100" w:type="dxa"/>
              <w:bottom w:w="80" w:type="dxa"/>
              <w:end w:w="100" w:type="dxa"/>
            </w:tcMar>
            <w:shd w:fill="F3F6F9"/>
          </w:tcPr>
          <w:p>
            <w:pPr>
              <w:spacing w:after="0" w:before="0"/>
            </w:pPr>
            <w:r/>
            <w:r>
              <w:rPr>
                <w:rFonts w:ascii="Aptos" w:hAnsi="Aptos"/>
                <w:b w:val="0"/>
                <w:sz w:val="15"/>
              </w:rPr>
              <w:t>Blueprint Management, Tool Catalog, Connector Management.</w:t>
            </w:r>
          </w:p>
        </w:tc>
        <w:tc>
          <w:tcPr>
            <w:tcW w:type="dxa" w:w="5040"/>
            <w:vAlign w:val="center"/>
            <w:tcMar>
              <w:top w:w="80" w:type="dxa"/>
              <w:start w:w="100" w:type="dxa"/>
              <w:bottom w:w="80" w:type="dxa"/>
              <w:end w:w="100" w:type="dxa"/>
            </w:tcMar>
            <w:shd w:fill="F3F6F9"/>
          </w:tcPr>
          <w:p>
            <w:pPr>
              <w:spacing w:after="0" w:before="0"/>
            </w:pPr>
            <w:r/>
            <w:r>
              <w:rPr>
                <w:rFonts w:ascii="Aptos" w:hAnsi="Aptos"/>
                <w:b w:val="0"/>
                <w:sz w:val="15"/>
              </w:rPr>
              <w:t>Admin can create, validate, version and publish a tool recipe with safe connector references.</w:t>
            </w:r>
          </w:p>
        </w:tc>
      </w:tr>
      <w:tr>
        <w:trPr>
          <w:cantSplit/>
        </w:trPr>
        <w:tc>
          <w:tcPr>
            <w:tcW w:type="dxa" w:w="1800"/>
            <w:vAlign w:val="center"/>
            <w:tcMar>
              <w:top w:w="80" w:type="dxa"/>
              <w:start w:w="100" w:type="dxa"/>
              <w:bottom w:w="80" w:type="dxa"/>
              <w:end w:w="100" w:type="dxa"/>
            </w:tcMar>
          </w:tcPr>
          <w:p>
            <w:pPr>
              <w:spacing w:after="0" w:before="0"/>
            </w:pPr>
            <w:r/>
            <w:r>
              <w:rPr>
                <w:rFonts w:ascii="Aptos" w:hAnsi="Aptos"/>
                <w:b w:val="0"/>
                <w:sz w:val="15"/>
              </w:rPr>
              <w:t>4. MCP execution</w:t>
            </w:r>
          </w:p>
        </w:tc>
        <w:tc>
          <w:tcPr>
            <w:tcW w:type="dxa" w:w="3384"/>
            <w:vAlign w:val="center"/>
            <w:tcMar>
              <w:top w:w="80" w:type="dxa"/>
              <w:start w:w="100" w:type="dxa"/>
              <w:bottom w:w="80" w:type="dxa"/>
              <w:end w:w="100" w:type="dxa"/>
            </w:tcMar>
          </w:tcPr>
          <w:p>
            <w:pPr>
              <w:spacing w:after="0" w:before="0"/>
            </w:pPr>
            <w:r/>
            <w:r>
              <w:rPr>
                <w:rFonts w:ascii="Aptos" w:hAnsi="Aptos"/>
                <w:b w:val="0"/>
                <w:sz w:val="15"/>
              </w:rPr>
              <w:t>MCP Gateway, Execution Orchestrator, Connector Runtime.</w:t>
            </w:r>
          </w:p>
        </w:tc>
        <w:tc>
          <w:tcPr>
            <w:tcW w:type="dxa" w:w="5040"/>
            <w:vAlign w:val="center"/>
            <w:tcMar>
              <w:top w:w="80" w:type="dxa"/>
              <w:start w:w="100" w:type="dxa"/>
              <w:bottom w:w="80" w:type="dxa"/>
              <w:end w:w="100" w:type="dxa"/>
            </w:tcMar>
          </w:tcPr>
          <w:p>
            <w:pPr>
              <w:spacing w:after="0" w:before="0"/>
            </w:pPr>
            <w:r/>
            <w:r>
              <w:rPr>
                <w:rFonts w:ascii="Aptos" w:hAnsi="Aptos"/>
                <w:b w:val="0"/>
                <w:sz w:val="15"/>
              </w:rPr>
              <w:t>AI Host can list/call a published tool and obtain source data with delegated authorization.</w:t>
            </w:r>
          </w:p>
        </w:tc>
      </w:tr>
      <w:tr>
        <w:trPr>
          <w:cantSplit/>
        </w:trPr>
        <w:tc>
          <w:tcPr>
            <w:tcW w:type="dxa" w:w="1800"/>
            <w:vAlign w:val="center"/>
            <w:tcMar>
              <w:top w:w="80" w:type="dxa"/>
              <w:start w:w="100" w:type="dxa"/>
              <w:bottom w:w="80" w:type="dxa"/>
              <w:end w:w="100" w:type="dxa"/>
            </w:tcMar>
            <w:shd w:fill="F3F6F9"/>
          </w:tcPr>
          <w:p>
            <w:pPr>
              <w:spacing w:after="0" w:before="0"/>
            </w:pPr>
            <w:r/>
            <w:r>
              <w:rPr>
                <w:rFonts w:ascii="Aptos" w:hAnsi="Aptos"/>
                <w:b w:val="0"/>
                <w:sz w:val="15"/>
              </w:rPr>
              <w:t>5. Deterministic truth</w:t>
            </w:r>
          </w:p>
        </w:tc>
        <w:tc>
          <w:tcPr>
            <w:tcW w:type="dxa" w:w="3384"/>
            <w:vAlign w:val="center"/>
            <w:tcMar>
              <w:top w:w="80" w:type="dxa"/>
              <w:start w:w="100" w:type="dxa"/>
              <w:bottom w:w="80" w:type="dxa"/>
              <w:end w:w="100" w:type="dxa"/>
            </w:tcMar>
            <w:shd w:fill="F3F6F9"/>
          </w:tcPr>
          <w:p>
            <w:pPr>
              <w:spacing w:after="0" w:before="0"/>
            </w:pPr>
            <w:r/>
            <w:r>
              <w:rPr>
                <w:rFonts w:ascii="Aptos" w:hAnsi="Aptos"/>
                <w:b w:val="0"/>
                <w:sz w:val="15"/>
              </w:rPr>
              <w:t>Data Normalization &amp; Privacy, Rule Evaluation, Truth &amp; Confidence.</w:t>
            </w:r>
          </w:p>
        </w:tc>
        <w:tc>
          <w:tcPr>
            <w:tcW w:type="dxa" w:w="5040"/>
            <w:vAlign w:val="center"/>
            <w:tcMar>
              <w:top w:w="80" w:type="dxa"/>
              <w:start w:w="100" w:type="dxa"/>
              <w:bottom w:w="80" w:type="dxa"/>
              <w:end w:w="100" w:type="dxa"/>
            </w:tcMar>
            <w:shd w:fill="F3F6F9"/>
          </w:tcPr>
          <w:p>
            <w:pPr>
              <w:spacing w:after="0" w:before="0"/>
            </w:pPr>
            <w:r/>
            <w:r>
              <w:rPr>
                <w:rFonts w:ascii="Aptos" w:hAnsi="Aptos"/>
                <w:b w:val="0"/>
                <w:sz w:val="15"/>
              </w:rPr>
              <w:t>Missing data is not a pass; rule results are deterministic; evidence is source-backed and PII-filtered.</w:t>
            </w:r>
          </w:p>
        </w:tc>
      </w:tr>
      <w:tr>
        <w:trPr>
          <w:cantSplit/>
        </w:trPr>
        <w:tc>
          <w:tcPr>
            <w:tcW w:type="dxa" w:w="1800"/>
            <w:vAlign w:val="center"/>
            <w:tcMar>
              <w:top w:w="80" w:type="dxa"/>
              <w:start w:w="100" w:type="dxa"/>
              <w:bottom w:w="80" w:type="dxa"/>
              <w:end w:w="100" w:type="dxa"/>
            </w:tcMar>
          </w:tcPr>
          <w:p>
            <w:pPr>
              <w:spacing w:after="0" w:before="0"/>
            </w:pPr>
            <w:r/>
            <w:r>
              <w:rPr>
                <w:rFonts w:ascii="Aptos" w:hAnsi="Aptos"/>
                <w:b w:val="0"/>
                <w:sz w:val="15"/>
              </w:rPr>
              <w:t>6. Governance and operations</w:t>
            </w:r>
          </w:p>
        </w:tc>
        <w:tc>
          <w:tcPr>
            <w:tcW w:type="dxa" w:w="3384"/>
            <w:vAlign w:val="center"/>
            <w:tcMar>
              <w:top w:w="80" w:type="dxa"/>
              <w:start w:w="100" w:type="dxa"/>
              <w:bottom w:w="80" w:type="dxa"/>
              <w:end w:w="100" w:type="dxa"/>
            </w:tcMar>
          </w:tcPr>
          <w:p>
            <w:pPr>
              <w:spacing w:after="0" w:before="0"/>
            </w:pPr>
            <w:r/>
            <w:r>
              <w:rPr>
                <w:rFonts w:ascii="Aptos" w:hAnsi="Aptos"/>
                <w:b w:val="0"/>
                <w:sz w:val="15"/>
              </w:rPr>
              <w:t>Audit Management, Integration Health.</w:t>
            </w:r>
          </w:p>
        </w:tc>
        <w:tc>
          <w:tcPr>
            <w:tcW w:type="dxa" w:w="5040"/>
            <w:vAlign w:val="center"/>
            <w:tcMar>
              <w:top w:w="80" w:type="dxa"/>
              <w:start w:w="100" w:type="dxa"/>
              <w:bottom w:w="80" w:type="dxa"/>
              <w:end w:w="100" w:type="dxa"/>
            </w:tcMar>
          </w:tcPr>
          <w:p>
            <w:pPr>
              <w:spacing w:after="0" w:before="0"/>
            </w:pPr>
            <w:r/>
            <w:r>
              <w:rPr>
                <w:rFonts w:ascii="Aptos" w:hAnsi="Aptos"/>
                <w:b w:val="0"/>
                <w:sz w:val="15"/>
              </w:rPr>
              <w:t>Audit delivery is monitored; connector heartbeat and recovery states appear in the Admin Portal.</w:t>
            </w:r>
          </w:p>
        </w:tc>
      </w:tr>
      <w:tr>
        <w:trPr>
          <w:cantSplit/>
        </w:trPr>
        <w:tc>
          <w:tcPr>
            <w:tcW w:type="dxa" w:w="1800"/>
            <w:vAlign w:val="center"/>
            <w:tcMar>
              <w:top w:w="80" w:type="dxa"/>
              <w:start w:w="100" w:type="dxa"/>
              <w:bottom w:w="80" w:type="dxa"/>
              <w:end w:w="100" w:type="dxa"/>
            </w:tcMar>
            <w:shd w:fill="F3F6F9"/>
          </w:tcPr>
          <w:p>
            <w:pPr>
              <w:spacing w:after="0" w:before="0"/>
            </w:pPr>
            <w:r/>
            <w:r>
              <w:rPr>
                <w:rFonts w:ascii="Aptos" w:hAnsi="Aptos"/>
                <w:b w:val="0"/>
                <w:sz w:val="15"/>
              </w:rPr>
              <w:t>7. Production hardening</w:t>
            </w:r>
          </w:p>
        </w:tc>
        <w:tc>
          <w:tcPr>
            <w:tcW w:type="dxa" w:w="3384"/>
            <w:vAlign w:val="center"/>
            <w:tcMar>
              <w:top w:w="80" w:type="dxa"/>
              <w:start w:w="100" w:type="dxa"/>
              <w:bottom w:w="80" w:type="dxa"/>
              <w:end w:w="100" w:type="dxa"/>
            </w:tcMar>
            <w:shd w:fill="F3F6F9"/>
          </w:tcPr>
          <w:p>
            <w:pPr>
              <w:spacing w:after="0" w:before="0"/>
            </w:pPr>
            <w:r/>
            <w:r>
              <w:rPr>
                <w:rFonts w:ascii="Aptos" w:hAnsi="Aptos"/>
                <w:b w:val="0"/>
                <w:sz w:val="15"/>
              </w:rPr>
              <w:t>Performance, security, chaos, backup/restore, tenant-isolation and disaster-recovery testing.</w:t>
            </w:r>
          </w:p>
        </w:tc>
        <w:tc>
          <w:tcPr>
            <w:tcW w:type="dxa" w:w="5040"/>
            <w:vAlign w:val="center"/>
            <w:tcMar>
              <w:top w:w="80" w:type="dxa"/>
              <w:start w:w="100" w:type="dxa"/>
              <w:bottom w:w="80" w:type="dxa"/>
              <w:end w:w="100" w:type="dxa"/>
            </w:tcMar>
            <w:shd w:fill="F3F6F9"/>
          </w:tcPr>
          <w:p>
            <w:pPr>
              <w:spacing w:after="0" w:before="0"/>
            </w:pPr>
            <w:r/>
            <w:r>
              <w:rPr>
                <w:rFonts w:ascii="Aptos" w:hAnsi="Aptos"/>
                <w:b w:val="0"/>
                <w:sz w:val="15"/>
              </w:rPr>
              <w:t>SLOs, isolation tests, incident runbooks and release rollback are approved.</w:t>
            </w:r>
          </w:p>
        </w:tc>
      </w:tr>
    </w:tbl>
    <w:p>
      <w:pPr>
        <w:spacing w:after="20"/>
      </w:pPr>
    </w:p>
    <w:p>
      <w:pPr>
        <w:pStyle w:val="Heading1"/>
        <w:keepNext/>
      </w:pPr>
      <w:r>
        <w:t>14. Decisions that must be signed off before coding</w:t>
      </w:r>
    </w:p>
    <w:p>
      <w:pPr>
        <w:pStyle w:val="ListBullet"/>
        <w:keepLines/>
        <w:spacing w:after="40"/>
      </w:pPr>
      <w:r>
        <w:t>Deployment model: shared SaaS, dedicated customer VPC/on-prem, or hybrid.</w:t>
      </w:r>
    </w:p>
    <w:p>
      <w:pPr>
        <w:pStyle w:val="ListBullet"/>
        <w:keepLines/>
        <w:spacing w:after="40"/>
      </w:pPr>
      <w:r>
        <w:t>Tenant isolation level: shared database with row/tenant partitioning, separate schema/database, or dedicated deployment. Define this per tier and regulatory requirement.</w:t>
      </w:r>
    </w:p>
    <w:p>
      <w:pPr>
        <w:pStyle w:val="ListBullet"/>
        <w:keepLines/>
        <w:spacing w:after="40"/>
      </w:pPr>
      <w:r>
        <w:t>Identity provider: customer-managed OIDC provider or managed Keycloak; define subject, tenant and role claim contracts.</w:t>
      </w:r>
    </w:p>
    <w:p>
      <w:pPr>
        <w:pStyle w:val="ListBullet"/>
        <w:keepLines/>
        <w:spacing w:after="40"/>
      </w:pPr>
      <w:r>
        <w:t>Policy semantics: who owns roles versus user membership, how clientId/resource scopes are represented, and what happens when the policy service is unavailable.</w:t>
      </w:r>
    </w:p>
    <w:p>
      <w:pPr>
        <w:pStyle w:val="ListBullet"/>
        <w:keepLines/>
        <w:spacing w:after="40"/>
      </w:pPr>
      <w:r>
        <w:t>MCP protocol/transport: exact MCP SDK version, HTTP transport/session behavior, authentication between AI Host and MCP Gateway.</w:t>
      </w:r>
    </w:p>
    <w:p>
      <w:pPr>
        <w:pStyle w:val="ListBullet"/>
        <w:keepLines/>
        <w:spacing w:after="40"/>
      </w:pPr>
      <w:r>
        <w:t>Event broker: Kafka or RabbitMQ; define schemas, retention, partition keys, DLQs and outbox relay.</w:t>
      </w:r>
    </w:p>
    <w:p>
      <w:pPr>
        <w:pStyle w:val="ListBullet"/>
        <w:keepLines/>
        <w:spacing w:after="40"/>
      </w:pPr>
      <w:r>
        <w:t>Secret manager: Vault/KMS product, secret rotation and network access model.</w:t>
      </w:r>
    </w:p>
    <w:p>
      <w:pPr>
        <w:pStyle w:val="ListBullet"/>
        <w:keepLines/>
        <w:spacing w:after="40"/>
      </w:pPr>
      <w:r>
        <w:t>Blueprint schema: supported connector operations, input schema, mapping schema, SpEL subset, version compatibility and rollback semantics.</w:t>
      </w:r>
    </w:p>
    <w:p>
      <w:pPr>
        <w:pStyle w:val="ListBullet"/>
        <w:keepLines/>
        <w:spacing w:after="40"/>
      </w:pPr>
      <w:r>
        <w:t>Audit retention: customer destination, immutable retention mechanism, event schema and allowed logged fields.</w:t>
      </w:r>
    </w:p>
    <w:p>
      <w:pPr>
        <w:pStyle w:val="ListBullet"/>
        <w:keepLines/>
        <w:spacing w:after="40"/>
      </w:pPr>
      <w:r>
        <w:t>Service SLOs and execution budget: target p95/p99 latency, maximum connector timeout, concurrency, retry policy and availability targets.</w:t>
      </w:r>
    </w:p>
    <w:p>
      <w:pPr>
        <w:pStyle w:val="Heading1"/>
        <w:keepNext/>
      </w:pPr>
      <w:r>
        <w:t>15. Traceability to supplied documentation</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4392"/>
            <w:vAlign w:val="center"/>
            <w:tcMar>
              <w:top w:w="80" w:type="dxa"/>
              <w:start w:w="100" w:type="dxa"/>
              <w:bottom w:w="80" w:type="dxa"/>
              <w:end w:w="100" w:type="dxa"/>
            </w:tcMar>
            <w:shd w:fill="17365D"/>
          </w:tcPr>
          <w:p>
            <w:pPr>
              <w:spacing w:after="0" w:before="0"/>
            </w:pPr>
            <w:r/>
            <w:r>
              <w:rPr>
                <w:rFonts w:ascii="Aptos" w:hAnsi="Aptos"/>
                <w:b/>
                <w:color w:val="FFFFFF"/>
                <w:sz w:val="15"/>
              </w:rPr>
              <w:t>Original documented capability</w:t>
            </w:r>
          </w:p>
        </w:tc>
        <w:tc>
          <w:tcPr>
            <w:tcW w:type="dxa" w:w="5832"/>
            <w:vAlign w:val="center"/>
            <w:tcMar>
              <w:top w:w="80" w:type="dxa"/>
              <w:start w:w="100" w:type="dxa"/>
              <w:bottom w:w="80" w:type="dxa"/>
              <w:end w:w="100" w:type="dxa"/>
            </w:tcMar>
            <w:shd w:fill="17365D"/>
          </w:tcPr>
          <w:p>
            <w:pPr>
              <w:spacing w:after="0" w:before="0"/>
            </w:pPr>
            <w:r/>
            <w:r>
              <w:rPr>
                <w:rFonts w:ascii="Aptos" w:hAnsi="Aptos"/>
                <w:b/>
                <w:color w:val="FFFFFF"/>
                <w:sz w:val="15"/>
              </w:rPr>
              <w:t>Target service boundary</w:t>
            </w:r>
          </w:p>
        </w:tc>
      </w:tr>
      <w:tr>
        <w:trPr>
          <w:cantSplit/>
        </w:trPr>
        <w:tc>
          <w:tcPr>
            <w:tcW w:type="dxa" w:w="4392"/>
            <w:vAlign w:val="center"/>
            <w:tcMar>
              <w:top w:w="80" w:type="dxa"/>
              <w:start w:w="100" w:type="dxa"/>
              <w:bottom w:w="80" w:type="dxa"/>
              <w:end w:w="100" w:type="dxa"/>
            </w:tcMar>
            <w:shd w:fill="F3F6F9"/>
          </w:tcPr>
          <w:p>
            <w:pPr>
              <w:spacing w:after="0" w:before="0"/>
            </w:pPr>
            <w:r/>
            <w:r>
              <w:rPr>
                <w:rFonts w:ascii="Aptos" w:hAnsi="Aptos"/>
                <w:b w:val="0"/>
                <w:sz w:val="15"/>
              </w:rPr>
              <w:t>TenantID, CompanyID, tenant-specific profile and isolation</w:t>
            </w:r>
          </w:p>
        </w:tc>
        <w:tc>
          <w:tcPr>
            <w:tcW w:type="dxa" w:w="5832"/>
            <w:vAlign w:val="center"/>
            <w:tcMar>
              <w:top w:w="80" w:type="dxa"/>
              <w:start w:w="100" w:type="dxa"/>
              <w:bottom w:w="80" w:type="dxa"/>
              <w:end w:w="100" w:type="dxa"/>
            </w:tcMar>
            <w:shd w:fill="F3F6F9"/>
          </w:tcPr>
          <w:p>
            <w:pPr>
              <w:spacing w:after="0" w:before="0"/>
            </w:pPr>
            <w:r/>
            <w:r>
              <w:rPr>
                <w:rFonts w:ascii="Aptos" w:hAnsi="Aptos"/>
                <w:b w:val="0"/>
                <w:sz w:val="15"/>
              </w:rPr>
              <w:t>Tenant Management; Access Policy; User Management</w:t>
            </w:r>
          </w:p>
        </w:tc>
      </w:tr>
      <w:tr>
        <w:trPr>
          <w:cantSplit/>
        </w:trPr>
        <w:tc>
          <w:tcPr>
            <w:tcW w:type="dxa" w:w="4392"/>
            <w:vAlign w:val="center"/>
            <w:tcMar>
              <w:top w:w="80" w:type="dxa"/>
              <w:start w:w="100" w:type="dxa"/>
              <w:bottom w:w="80" w:type="dxa"/>
              <w:end w:w="100" w:type="dxa"/>
            </w:tcMar>
          </w:tcPr>
          <w:p>
            <w:pPr>
              <w:spacing w:after="0" w:before="0"/>
            </w:pPr>
            <w:r/>
            <w:r>
              <w:rPr>
                <w:rFonts w:ascii="Aptos" w:hAnsi="Aptos"/>
                <w:b w:val="0"/>
                <w:sz w:val="15"/>
              </w:rPr>
              <w:t>OAuth2/OIDC, JWT propagation, RBAC, scoped tool execution</w:t>
            </w:r>
          </w:p>
        </w:tc>
        <w:tc>
          <w:tcPr>
            <w:tcW w:type="dxa" w:w="5832"/>
            <w:vAlign w:val="center"/>
            <w:tcMar>
              <w:top w:w="80" w:type="dxa"/>
              <w:start w:w="100" w:type="dxa"/>
              <w:bottom w:w="80" w:type="dxa"/>
              <w:end w:w="100" w:type="dxa"/>
            </w:tcMar>
          </w:tcPr>
          <w:p>
            <w:pPr>
              <w:spacing w:after="0" w:before="0"/>
            </w:pPr>
            <w:r/>
            <w:r>
              <w:rPr>
                <w:rFonts w:ascii="Aptos" w:hAnsi="Aptos"/>
                <w:b w:val="0"/>
                <w:sz w:val="15"/>
              </w:rPr>
              <w:t>External IdP; User Management; Access Policy; MCP Gateway</w:t>
            </w:r>
          </w:p>
        </w:tc>
      </w:tr>
      <w:tr>
        <w:trPr>
          <w:cantSplit/>
        </w:trPr>
        <w:tc>
          <w:tcPr>
            <w:tcW w:type="dxa" w:w="4392"/>
            <w:vAlign w:val="center"/>
            <w:tcMar>
              <w:top w:w="80" w:type="dxa"/>
              <w:start w:w="100" w:type="dxa"/>
              <w:bottom w:w="80" w:type="dxa"/>
              <w:end w:w="100" w:type="dxa"/>
            </w:tcMar>
            <w:shd w:fill="F3F6F9"/>
          </w:tcPr>
          <w:p>
            <w:pPr>
              <w:spacing w:after="0" w:before="0"/>
            </w:pPr>
            <w:r/>
            <w:r>
              <w:rPr>
                <w:rFonts w:ascii="Aptos" w:hAnsi="Aptos"/>
                <w:b w:val="0"/>
                <w:sz w:val="15"/>
              </w:rPr>
              <w:t>JSON blueprints, dynamic registration and zero restart</w:t>
            </w:r>
          </w:p>
        </w:tc>
        <w:tc>
          <w:tcPr>
            <w:tcW w:type="dxa" w:w="5832"/>
            <w:vAlign w:val="center"/>
            <w:tcMar>
              <w:top w:w="80" w:type="dxa"/>
              <w:start w:w="100" w:type="dxa"/>
              <w:bottom w:w="80" w:type="dxa"/>
              <w:end w:w="100" w:type="dxa"/>
            </w:tcMar>
            <w:shd w:fill="F3F6F9"/>
          </w:tcPr>
          <w:p>
            <w:pPr>
              <w:spacing w:after="0" w:before="0"/>
            </w:pPr>
            <w:r/>
            <w:r>
              <w:rPr>
                <w:rFonts w:ascii="Aptos" w:hAnsi="Aptos"/>
                <w:b w:val="0"/>
                <w:sz w:val="15"/>
              </w:rPr>
              <w:t>Blueprint Management; Tool Catalog; MCP Gateway registry projection</w:t>
            </w:r>
          </w:p>
        </w:tc>
      </w:tr>
      <w:tr>
        <w:trPr>
          <w:cantSplit/>
        </w:trPr>
        <w:tc>
          <w:tcPr>
            <w:tcW w:type="dxa" w:w="4392"/>
            <w:vAlign w:val="center"/>
            <w:tcMar>
              <w:top w:w="80" w:type="dxa"/>
              <w:start w:w="100" w:type="dxa"/>
              <w:bottom w:w="80" w:type="dxa"/>
              <w:end w:w="100" w:type="dxa"/>
            </w:tcMar>
          </w:tcPr>
          <w:p>
            <w:pPr>
              <w:spacing w:after="0" w:before="0"/>
            </w:pPr>
            <w:r/>
            <w:r>
              <w:rPr>
                <w:rFonts w:ascii="Aptos" w:hAnsi="Aptos"/>
                <w:b w:val="0"/>
                <w:sz w:val="15"/>
              </w:rPr>
              <w:t>Fetch → Normalize → Evaluate pipeline</w:t>
            </w:r>
          </w:p>
        </w:tc>
        <w:tc>
          <w:tcPr>
            <w:tcW w:type="dxa" w:w="5832"/>
            <w:vAlign w:val="center"/>
            <w:tcMar>
              <w:top w:w="80" w:type="dxa"/>
              <w:start w:w="100" w:type="dxa"/>
              <w:bottom w:w="80" w:type="dxa"/>
              <w:end w:w="100" w:type="dxa"/>
            </w:tcMar>
          </w:tcPr>
          <w:p>
            <w:pPr>
              <w:spacing w:after="0" w:before="0"/>
            </w:pPr>
            <w:r/>
            <w:r>
              <w:rPr>
                <w:rFonts w:ascii="Aptos" w:hAnsi="Aptos"/>
                <w:b w:val="0"/>
                <w:sz w:val="15"/>
              </w:rPr>
              <w:t>Execution Orchestrator; Connector Runtime; Data Normalization &amp; Privacy; Rule Evaluation</w:t>
            </w:r>
          </w:p>
        </w:tc>
      </w:tr>
      <w:tr>
        <w:trPr>
          <w:cantSplit/>
        </w:trPr>
        <w:tc>
          <w:tcPr>
            <w:tcW w:type="dxa" w:w="4392"/>
            <w:vAlign w:val="center"/>
            <w:tcMar>
              <w:top w:w="80" w:type="dxa"/>
              <w:start w:w="100" w:type="dxa"/>
              <w:bottom w:w="80" w:type="dxa"/>
              <w:end w:w="100" w:type="dxa"/>
            </w:tcMar>
            <w:shd w:fill="F3F6F9"/>
          </w:tcPr>
          <w:p>
            <w:pPr>
              <w:spacing w:after="0" w:before="0"/>
            </w:pPr>
            <w:r/>
            <w:r>
              <w:rPr>
                <w:rFonts w:ascii="Aptos" w:hAnsi="Aptos"/>
                <w:b w:val="0"/>
                <w:sz w:val="15"/>
              </w:rPr>
              <w:t>REST, SQL, GraphQL, secure proxy connectors</w:t>
            </w:r>
          </w:p>
        </w:tc>
        <w:tc>
          <w:tcPr>
            <w:tcW w:type="dxa" w:w="5832"/>
            <w:vAlign w:val="center"/>
            <w:tcMar>
              <w:top w:w="80" w:type="dxa"/>
              <w:start w:w="100" w:type="dxa"/>
              <w:bottom w:w="80" w:type="dxa"/>
              <w:end w:w="100" w:type="dxa"/>
            </w:tcMar>
            <w:shd w:fill="F3F6F9"/>
          </w:tcPr>
          <w:p>
            <w:pPr>
              <w:spacing w:after="0" w:before="0"/>
            </w:pPr>
            <w:r/>
            <w:r>
              <w:rPr>
                <w:rFonts w:ascii="Aptos" w:hAnsi="Aptos"/>
                <w:b w:val="0"/>
                <w:sz w:val="15"/>
              </w:rPr>
              <w:t>Connector Management; Connector Runtime</w:t>
            </w:r>
          </w:p>
        </w:tc>
      </w:tr>
      <w:tr>
        <w:trPr>
          <w:cantSplit/>
        </w:trPr>
        <w:tc>
          <w:tcPr>
            <w:tcW w:type="dxa" w:w="4392"/>
            <w:vAlign w:val="center"/>
            <w:tcMar>
              <w:top w:w="80" w:type="dxa"/>
              <w:start w:w="100" w:type="dxa"/>
              <w:bottom w:w="80" w:type="dxa"/>
              <w:end w:w="100" w:type="dxa"/>
            </w:tcMar>
          </w:tcPr>
          <w:p>
            <w:pPr>
              <w:spacing w:after="0" w:before="0"/>
            </w:pPr>
            <w:r/>
            <w:r>
              <w:rPr>
                <w:rFonts w:ascii="Aptos" w:hAnsi="Aptos"/>
                <w:b w:val="0"/>
                <w:sz w:val="15"/>
              </w:rPr>
              <w:t>SpEL deterministic rule evaluation</w:t>
            </w:r>
          </w:p>
        </w:tc>
        <w:tc>
          <w:tcPr>
            <w:tcW w:type="dxa" w:w="5832"/>
            <w:vAlign w:val="center"/>
            <w:tcMar>
              <w:top w:w="80" w:type="dxa"/>
              <w:start w:w="100" w:type="dxa"/>
              <w:bottom w:w="80" w:type="dxa"/>
              <w:end w:w="100" w:type="dxa"/>
            </w:tcMar>
          </w:tcPr>
          <w:p>
            <w:pPr>
              <w:spacing w:after="0" w:before="0"/>
            </w:pPr>
            <w:r/>
            <w:r>
              <w:rPr>
                <w:rFonts w:ascii="Aptos" w:hAnsi="Aptos"/>
                <w:b w:val="0"/>
                <w:sz w:val="15"/>
              </w:rPr>
              <w:t>Rule Evaluation</w:t>
            </w:r>
          </w:p>
        </w:tc>
      </w:tr>
      <w:tr>
        <w:trPr>
          <w:cantSplit/>
        </w:trPr>
        <w:tc>
          <w:tcPr>
            <w:tcW w:type="dxa" w:w="4392"/>
            <w:vAlign w:val="center"/>
            <w:tcMar>
              <w:top w:w="80" w:type="dxa"/>
              <w:start w:w="100" w:type="dxa"/>
              <w:bottom w:w="80" w:type="dxa"/>
              <w:end w:w="100" w:type="dxa"/>
            </w:tcMar>
            <w:shd w:fill="F3F6F9"/>
          </w:tcPr>
          <w:p>
            <w:pPr>
              <w:spacing w:after="0" w:before="0"/>
            </w:pPr>
            <w:r/>
            <w:r>
              <w:rPr>
                <w:rFonts w:ascii="Aptos" w:hAnsi="Aptos"/>
                <w:b w:val="0"/>
                <w:sz w:val="15"/>
              </w:rPr>
              <w:t>Structured Truth Card and confidence/manual-review recommendation</w:t>
            </w:r>
          </w:p>
        </w:tc>
        <w:tc>
          <w:tcPr>
            <w:tcW w:type="dxa" w:w="5832"/>
            <w:vAlign w:val="center"/>
            <w:tcMar>
              <w:top w:w="80" w:type="dxa"/>
              <w:start w:w="100" w:type="dxa"/>
              <w:bottom w:w="80" w:type="dxa"/>
              <w:end w:w="100" w:type="dxa"/>
            </w:tcMar>
            <w:shd w:fill="F3F6F9"/>
          </w:tcPr>
          <w:p>
            <w:pPr>
              <w:spacing w:after="0" w:before="0"/>
            </w:pPr>
            <w:r/>
            <w:r>
              <w:rPr>
                <w:rFonts w:ascii="Aptos" w:hAnsi="Aptos"/>
                <w:b w:val="0"/>
                <w:sz w:val="15"/>
              </w:rPr>
              <w:t>Truth &amp; Confidence; optional Manual Review Service</w:t>
            </w:r>
          </w:p>
        </w:tc>
      </w:tr>
      <w:tr>
        <w:trPr>
          <w:cantSplit/>
        </w:trPr>
        <w:tc>
          <w:tcPr>
            <w:tcW w:type="dxa" w:w="4392"/>
            <w:vAlign w:val="center"/>
            <w:tcMar>
              <w:top w:w="80" w:type="dxa"/>
              <w:start w:w="100" w:type="dxa"/>
              <w:bottom w:w="80" w:type="dxa"/>
              <w:end w:w="100" w:type="dxa"/>
            </w:tcMar>
          </w:tcPr>
          <w:p>
            <w:pPr>
              <w:spacing w:after="0" w:before="0"/>
            </w:pPr>
            <w:r/>
            <w:r>
              <w:rPr>
                <w:rFonts w:ascii="Aptos" w:hAnsi="Aptos"/>
                <w:b w:val="0"/>
                <w:sz w:val="15"/>
              </w:rPr>
              <w:t>Heartbeat probes every 60 seconds</w:t>
            </w:r>
          </w:p>
        </w:tc>
        <w:tc>
          <w:tcPr>
            <w:tcW w:type="dxa" w:w="5832"/>
            <w:vAlign w:val="center"/>
            <w:tcMar>
              <w:top w:w="80" w:type="dxa"/>
              <w:start w:w="100" w:type="dxa"/>
              <w:bottom w:w="80" w:type="dxa"/>
              <w:end w:w="100" w:type="dxa"/>
            </w:tcMar>
          </w:tcPr>
          <w:p>
            <w:pPr>
              <w:spacing w:after="0" w:before="0"/>
            </w:pPr>
            <w:r/>
            <w:r>
              <w:rPr>
                <w:rFonts w:ascii="Aptos" w:hAnsi="Aptos"/>
                <w:b w:val="0"/>
                <w:sz w:val="15"/>
              </w:rPr>
              <w:t>Integration Health</w:t>
            </w:r>
          </w:p>
        </w:tc>
      </w:tr>
      <w:tr>
        <w:trPr>
          <w:cantSplit/>
        </w:trPr>
        <w:tc>
          <w:tcPr>
            <w:tcW w:type="dxa" w:w="4392"/>
            <w:vAlign w:val="center"/>
            <w:tcMar>
              <w:top w:w="80" w:type="dxa"/>
              <w:start w:w="100" w:type="dxa"/>
              <w:bottom w:w="80" w:type="dxa"/>
              <w:end w:w="100" w:type="dxa"/>
            </w:tcMar>
            <w:shd w:fill="F3F6F9"/>
          </w:tcPr>
          <w:p>
            <w:pPr>
              <w:spacing w:after="0" w:before="0"/>
            </w:pPr>
            <w:r/>
            <w:r>
              <w:rPr>
                <w:rFonts w:ascii="Aptos" w:hAnsi="Aptos"/>
                <w:b w:val="0"/>
                <w:sz w:val="15"/>
              </w:rPr>
              <w:t>Micrometer, Prometheus, Grafana</w:t>
            </w:r>
          </w:p>
        </w:tc>
        <w:tc>
          <w:tcPr>
            <w:tcW w:type="dxa" w:w="5832"/>
            <w:vAlign w:val="center"/>
            <w:tcMar>
              <w:top w:w="80" w:type="dxa"/>
              <w:start w:w="100" w:type="dxa"/>
              <w:bottom w:w="80" w:type="dxa"/>
              <w:end w:w="100" w:type="dxa"/>
            </w:tcMar>
            <w:shd w:fill="F3F6F9"/>
          </w:tcPr>
          <w:p>
            <w:pPr>
              <w:spacing w:after="0" w:before="0"/>
            </w:pPr>
            <w:r/>
            <w:r>
              <w:rPr>
                <w:rFonts w:ascii="Aptos" w:hAnsi="Aptos"/>
                <w:b w:val="0"/>
                <w:sz w:val="15"/>
              </w:rPr>
              <w:t>Platform observability plus Integration Health domain probes</w:t>
            </w:r>
          </w:p>
        </w:tc>
      </w:tr>
      <w:tr>
        <w:trPr>
          <w:cantSplit/>
        </w:trPr>
        <w:tc>
          <w:tcPr>
            <w:tcW w:type="dxa" w:w="4392"/>
            <w:vAlign w:val="center"/>
            <w:tcMar>
              <w:top w:w="80" w:type="dxa"/>
              <w:start w:w="100" w:type="dxa"/>
              <w:bottom w:w="80" w:type="dxa"/>
              <w:end w:w="100" w:type="dxa"/>
            </w:tcMar>
          </w:tcPr>
          <w:p>
            <w:pPr>
              <w:spacing w:after="0" w:before="0"/>
            </w:pPr>
            <w:r/>
            <w:r>
              <w:rPr>
                <w:rFonts w:ascii="Aptos" w:hAnsi="Aptos"/>
                <w:b w:val="0"/>
                <w:sz w:val="15"/>
              </w:rPr>
              <w:t>Immutable audit logs forwarded to ELK/Splunk</w:t>
            </w:r>
          </w:p>
        </w:tc>
        <w:tc>
          <w:tcPr>
            <w:tcW w:type="dxa" w:w="5832"/>
            <w:vAlign w:val="center"/>
            <w:tcMar>
              <w:top w:w="80" w:type="dxa"/>
              <w:start w:w="100" w:type="dxa"/>
              <w:bottom w:w="80" w:type="dxa"/>
              <w:end w:w="100" w:type="dxa"/>
            </w:tcMar>
          </w:tcPr>
          <w:p>
            <w:pPr>
              <w:spacing w:after="0" w:before="0"/>
            </w:pPr>
            <w:r/>
            <w:r>
              <w:rPr>
                <w:rFonts w:ascii="Aptos" w:hAnsi="Aptos"/>
                <w:b w:val="0"/>
                <w:sz w:val="15"/>
              </w:rPr>
              <w:t>Audit Management plus producer outbox events</w:t>
            </w:r>
          </w:p>
        </w:tc>
      </w:tr>
      <w:tr>
        <w:trPr>
          <w:cantSplit/>
        </w:trPr>
        <w:tc>
          <w:tcPr>
            <w:tcW w:type="dxa" w:w="4392"/>
            <w:vAlign w:val="center"/>
            <w:tcMar>
              <w:top w:w="80" w:type="dxa"/>
              <w:start w:w="100" w:type="dxa"/>
              <w:bottom w:w="80" w:type="dxa"/>
              <w:end w:w="100" w:type="dxa"/>
            </w:tcMar>
            <w:shd w:fill="F3F6F9"/>
          </w:tcPr>
          <w:p>
            <w:pPr>
              <w:spacing w:after="0" w:before="0"/>
            </w:pPr>
            <w:r/>
            <w:r>
              <w:rPr>
                <w:rFonts w:ascii="Aptos" w:hAnsi="Aptos"/>
                <w:b w:val="0"/>
                <w:sz w:val="15"/>
              </w:rPr>
              <w:t>Docker, Kubernetes and Helm</w:t>
            </w:r>
          </w:p>
        </w:tc>
        <w:tc>
          <w:tcPr>
            <w:tcW w:type="dxa" w:w="5832"/>
            <w:vAlign w:val="center"/>
            <w:tcMar>
              <w:top w:w="80" w:type="dxa"/>
              <w:start w:w="100" w:type="dxa"/>
              <w:bottom w:w="80" w:type="dxa"/>
              <w:end w:w="100" w:type="dxa"/>
            </w:tcMar>
            <w:shd w:fill="F3F6F9"/>
          </w:tcPr>
          <w:p>
            <w:pPr>
              <w:spacing w:after="0" w:before="0"/>
            </w:pPr>
            <w:r/>
            <w:r>
              <w:rPr>
                <w:rFonts w:ascii="Aptos" w:hAnsi="Aptos"/>
                <w:b w:val="0"/>
                <w:sz w:val="15"/>
              </w:rPr>
              <w:t>Independent deployment for all 14 application services</w:t>
            </w:r>
          </w:p>
        </w:tc>
      </w:tr>
    </w:tbl>
    <w:p>
      <w:pPr>
        <w:spacing w:after="20"/>
      </w:pPr>
    </w:p>
    <w:p>
      <w:pPr>
        <w:pStyle w:val="Heading1"/>
        <w:keepNext/>
      </w:pPr>
      <w:r>
        <w:t>16. Final recommendation</w:t>
      </w:r>
    </w:p>
    <w:p>
      <w:pPr>
        <w:spacing w:after="100"/>
      </w:pPr>
      <w:r>
        <w:t>Adopt the 14-service target if independent ownership, deployment and scaling are genuine requirements. The most important separation is: identity profile versus authorization policy; blueprint recipe versus AI-visible tool catalogue; connector configuration versus connector execution; MCP protocol versus execution orchestration; normalization versus rule evaluation; verified result assembly versus audit and health operations.</w:t>
      </w:r>
    </w:p>
    <w:p>
      <w:pPr>
        <w:spacing w:after="100"/>
      </w:pPr>
      <w:r>
        <w:t>Do not split classes into network services just to increase the count. A microservice boundary is justified only when the capability has its own data ownership, API/event contract, deployability, security boundary and operational reason to change independently. Keep the optional Manual Review Service out of the initial count until the human-review lifecycle is specified.</w:t>
      </w:r>
    </w:p>
    <w:p>
      <w:pPr>
        <w:spacing w:after="100"/>
      </w:pPr>
      <w:r>
        <w:t>Recommended target: 14 OmniTruth business microservices, plus external/platform components. Recommended implementation approach: establish service contracts and data ownership first, then implement and deploy services in the phases above. The source documents provide the product capabilities; service decomposition and the design-pattern mapping in this document are architecture recommendations.</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 xml:space="preserve">Architecture proposal  •  </w:t>
    </w:r>
    <w:r>
      <w:rPr>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b/>
        <w:color w:val="5F7387"/>
        <w:sz w:val="16"/>
      </w:rPr>
      <w:t>OMNITRUTH  |  TARGET MICROSERVICES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b/>
      <w:bCs/>
      <w:color w:val="1F5C82"/>
      <w:sz w:val="24"/>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w:hAnsi="Aptos"/>
      <w:b/>
      <w:bCs/>
      <w:color w:val="1F5C82"/>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536C84"/>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OmniTruth Target Microservices Architecture and Design Patterns</dc:title>
  <dc:subject>Service decomposition, ownership, interfaces, security and design patterns</dc:subject>
  <dc:creator>OpenAI</dc:creator>
  <cp:keywords>OmniTruth, microservices, architecture, Java, Spring Boot, MCP, design patterns</cp:keywords>
  <dc:description>generated by python-docx</dc:description>
  <cp:lastModifiedBy/>
  <cp:revision>1</cp:revision>
  <dcterms:created xsi:type="dcterms:W3CDTF">2013-12-23T23:15:00Z</dcterms:created>
  <dcterms:modified xsi:type="dcterms:W3CDTF">2013-12-23T23:15:00Z</dcterms:modified>
  <cp:category/>
</cp:coreProperties>
</file>