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0A7E8C"/>
          <w:sz w:val="22"/>
          <w:szCs w:val="22"/>
        </w:rPr>
        <w:t xml:space="preserve">UNIVERSITY OF JORDAN — SCHOOL OF PHARMACY</w:t>
      </w:r>
    </w:p>
    <w:p>
      <w:pPr>
        <w:spacing w:after="60"/>
        <w:jc w:val="center"/>
      </w:pPr>
      <w:r>
        <w:rPr>
          <w:rFonts w:ascii="Times New Roman" w:cs="Times New Roman" w:eastAsia="Times New Roman" w:hAnsi="Times New Roman"/>
          <w:color w:val="5A6680"/>
          <w:sz w:val="22"/>
          <w:szCs w:val="22"/>
        </w:rPr>
        <w:t xml:space="preserve">Master in Pharmacy Administration</w:t>
      </w:r>
    </w:p>
    <w:p>
      <w:pPr>
        <w:spacing w:after="360"/>
        <w:jc w:val="center"/>
      </w:pPr>
      <w:r>
        <w:rPr>
          <w:rFonts w:ascii="Times New Roman" w:cs="Times New Roman" w:eastAsia="Times New Roman" w:hAnsi="Times New Roman"/>
          <w:color w:val="5A6680"/>
          <w:sz w:val="22"/>
          <w:szCs w:val="22"/>
        </w:rPr>
        <w:t xml:space="preserve">Pharmacy Information Management Systems (PIMS)</w:t>
      </w:r>
    </w:p>
    <w:p>
      <w:pPr>
        <w:spacing w:after="60" w:before="240"/>
        <w:jc w:val="center"/>
      </w:pPr>
      <w:r>
        <w:rPr>
          <w:rFonts w:ascii="Times New Roman" w:cs="Times New Roman" w:eastAsia="Times New Roman" w:hAnsi="Times New Roman"/>
          <w:b/>
          <w:bCs/>
          <w:color w:val="845EC2"/>
          <w:sz w:val="28"/>
          <w:szCs w:val="28"/>
        </w:rPr>
        <w:t xml:space="preserve">STUDY GUIDE</w:t>
      </w:r>
    </w:p>
    <w:p>
      <w:pPr>
        <w:spacing w:after="120"/>
        <w:jc w:val="center"/>
      </w:pPr>
      <w:r>
        <w:rPr>
          <w:rFonts w:ascii="Times New Roman" w:cs="Times New Roman" w:eastAsia="Times New Roman" w:hAnsi="Times New Roman"/>
          <w:b/>
          <w:bCs/>
          <w:color w:val="0D2D6B"/>
          <w:sz w:val="40"/>
          <w:szCs w:val="40"/>
        </w:rPr>
        <w:t xml:space="preserve">Interactive Cases on</w:t>
      </w:r>
    </w:p>
    <w:p>
      <w:pPr>
        <w:spacing w:after="600"/>
        <w:jc w:val="center"/>
      </w:pPr>
      <w:r>
        <w:rPr>
          <w:rFonts w:ascii="Times New Roman" w:cs="Times New Roman" w:eastAsia="Times New Roman" w:hAnsi="Times New Roman"/>
          <w:b/>
          <w:bCs/>
          <w:color w:val="0A7E8C"/>
          <w:sz w:val="40"/>
          <w:szCs w:val="40"/>
        </w:rPr>
        <w:t xml:space="preserve">Electronic Prescribing (e-Prescribing)</w:t>
      </w:r>
    </w:p>
    <w:p>
      <w:pPr>
        <w:spacing w:after="60"/>
        <w:jc w:val="center"/>
      </w:pPr>
      <w:r>
        <w:rPr>
          <w:rFonts w:ascii="Times New Roman" w:cs="Times New Roman" w:eastAsia="Times New Roman" w:hAnsi="Times New Roman"/>
          <w:i/>
          <w:iCs/>
          <w:color w:val="5A6680"/>
          <w:sz w:val="22"/>
          <w:szCs w:val="22"/>
        </w:rPr>
        <w:t xml:space="preserve">Hospital + Community Cases · MCQs · Matching · Flashcards</w:t>
      </w:r>
    </w:p>
    <w:p>
      <w:pPr>
        <w:spacing w:after="600"/>
      </w:pPr>
      <w:r>
        <w:rPr>
          <w:rFonts w:ascii="Times New Roman" w:cs="Times New Roman" w:eastAsia="Times New Roman" w:hAnsi="Times New Roman"/>
        </w:rPr>
        <w:t xml:space="preserve"/>
      </w:r>
    </w:p>
    <w:p>
      <w:pPr>
        <w:spacing w:after="60"/>
        <w:jc w:val="center"/>
      </w:pPr>
      <w:r>
        <w:rPr>
          <w:rFonts w:ascii="Times New Roman" w:cs="Times New Roman" w:eastAsia="Times New Roman" w:hAnsi="Times New Roman"/>
          <w:color w:val="5A6680"/>
          <w:sz w:val="22"/>
          <w:szCs w:val="22"/>
        </w:rPr>
        <w:t xml:space="preserve">Prepared by</w:t>
      </w:r>
    </w:p>
    <w:p>
      <w:pPr>
        <w:spacing w:after="60"/>
        <w:jc w:val="center"/>
      </w:pPr>
      <w:r>
        <w:rPr>
          <w:rFonts w:ascii="Times New Roman" w:cs="Times New Roman" w:eastAsia="Times New Roman" w:hAnsi="Times New Roman"/>
          <w:b/>
          <w:bCs/>
          <w:color w:val="0D2D6B"/>
          <w:sz w:val="30"/>
          <w:szCs w:val="30"/>
        </w:rPr>
        <w:t xml:space="preserve">Dr. Samar J. Melhem, PhD</w:t>
      </w:r>
    </w:p>
    <w:p>
      <w:pPr>
        <w:spacing w:after="60"/>
        <w:jc w:val="center"/>
      </w:pPr>
      <w:r>
        <w:rPr>
          <w:rFonts w:ascii="Times New Roman" w:cs="Times New Roman" w:eastAsia="Times New Roman" w:hAnsi="Times New Roman"/>
          <w:b/>
          <w:bCs/>
          <w:color w:val="0A7E8C"/>
          <w:sz w:val="22"/>
          <w:szCs w:val="22"/>
        </w:rPr>
        <w:t xml:space="preserve">Assistant Professor — Digital Health &amp; Health Informatics</w:t>
      </w:r>
    </w:p>
    <w:p>
      <w:pPr>
        <w:spacing w:after="60"/>
        <w:jc w:val="center"/>
      </w:pPr>
      <w:r>
        <w:rPr>
          <w:rFonts w:ascii="Times New Roman" w:cs="Times New Roman" w:eastAsia="Times New Roman" w:hAnsi="Times New Roman"/>
          <w:sz w:val="22"/>
          <w:szCs w:val="22"/>
        </w:rPr>
        <w:t xml:space="preserve">School of Pharmacy · University of Jordan</w:t>
      </w:r>
    </w:p>
    <w:p>
      <w:pPr>
        <w:spacing w:after="60"/>
        <w:jc w:val="center"/>
      </w:pPr>
      <w:r>
        <w:rPr>
          <w:rFonts w:ascii="Times New Roman" w:cs="Times New Roman" w:eastAsia="Times New Roman" w:hAnsi="Times New Roman"/>
          <w:color w:val="5A6680"/>
          <w:sz w:val="22"/>
          <w:szCs w:val="22"/>
        </w:rPr>
        <w:t xml:space="preserve">sa.melhem@ju.edu.jo · Office 225</w:t>
      </w:r>
    </w:p>
    <w:p>
      <w:pPr>
        <w:spacing w:after="600"/>
      </w:pPr>
      <w:r>
        <w:rPr>
          <w:rFonts w:ascii="Times New Roman" w:cs="Times New Roman" w:eastAsia="Times New Roman" w:hAnsi="Times New Roman"/>
        </w:rPr>
        <w:t xml:space="preserve"/>
      </w:r>
    </w:p>
    <w:p>
      <w:pPr>
        <w:jc w:val="center"/>
      </w:pPr>
      <w:r>
        <w:rPr>
          <w:rFonts w:ascii="Times New Roman" w:cs="Times New Roman" w:eastAsia="Times New Roman" w:hAnsi="Times New Roman"/>
          <w:i/>
          <w:iCs/>
          <w:color w:val="5A6680"/>
          <w:sz w:val="22"/>
          <w:szCs w:val="22"/>
        </w:rPr>
        <w:t xml:space="preserve">Academic Year 2025/2026</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Table of Contents</w:t>
      </w:r>
    </w:p>
    <w:p>
      <w:pPr>
        <w:tabs>
          <w:tab w:val="right" w:pos="9360" w:leader="dot"/>
        </w:tabs>
        <w:spacing w:after="40" w:before="40"/>
      </w:pPr>
      <w:r>
        <w:rPr>
          <w:rFonts w:ascii="Times New Roman" w:cs="Times New Roman" w:eastAsia="Times New Roman" w:hAnsi="Times New Roman"/>
          <w:b/>
          <w:bCs/>
          <w:color w:val="0D2D6B"/>
          <w:sz w:val="22"/>
          <w:szCs w:val="22"/>
        </w:rPr>
        <w:t xml:space="preserve">1.  </w:t>
      </w:r>
      <w:r>
        <w:rPr>
          <w:rFonts w:ascii="Times New Roman" w:cs="Times New Roman" w:eastAsia="Times New Roman" w:hAnsi="Times New Roman"/>
          <w:sz w:val="22"/>
          <w:szCs w:val="22"/>
        </w:rPr>
        <w:t xml:space="preserve">Learning Objectives</w:t>
      </w:r>
    </w:p>
    <w:p>
      <w:pPr>
        <w:tabs>
          <w:tab w:val="right" w:pos="9360" w:leader="dot"/>
        </w:tabs>
        <w:spacing w:after="40" w:before="40"/>
      </w:pPr>
      <w:r>
        <w:rPr>
          <w:rFonts w:ascii="Times New Roman" w:cs="Times New Roman" w:eastAsia="Times New Roman" w:hAnsi="Times New Roman"/>
          <w:b/>
          <w:bCs/>
          <w:color w:val="0D2D6B"/>
          <w:sz w:val="22"/>
          <w:szCs w:val="22"/>
        </w:rPr>
        <w:t xml:space="preserve">2.  </w:t>
      </w:r>
      <w:r>
        <w:rPr>
          <w:rFonts w:ascii="Times New Roman" w:cs="Times New Roman" w:eastAsia="Times New Roman" w:hAnsi="Times New Roman"/>
          <w:sz w:val="22"/>
          <w:szCs w:val="22"/>
        </w:rPr>
        <w:t xml:space="preserve">Foundational Definitions</w:t>
      </w:r>
    </w:p>
    <w:p>
      <w:pPr>
        <w:tabs>
          <w:tab w:val="right" w:pos="9360" w:leader="dot"/>
        </w:tabs>
        <w:spacing w:after="40" w:before="40"/>
      </w:pPr>
      <w:r>
        <w:rPr>
          <w:rFonts w:ascii="Times New Roman" w:cs="Times New Roman" w:eastAsia="Times New Roman" w:hAnsi="Times New Roman"/>
          <w:b/>
          <w:bCs/>
          <w:color w:val="0D2D6B"/>
          <w:sz w:val="22"/>
          <w:szCs w:val="22"/>
        </w:rPr>
        <w:t xml:space="preserve">3.  </w:t>
      </w:r>
      <w:r>
        <w:rPr>
          <w:rFonts w:ascii="Times New Roman" w:cs="Times New Roman" w:eastAsia="Times New Roman" w:hAnsi="Times New Roman"/>
          <w:sz w:val="22"/>
          <w:szCs w:val="22"/>
        </w:rPr>
        <w:t xml:space="preserve">Anatomy of an Electronic Prescription</w:t>
      </w:r>
    </w:p>
    <w:p>
      <w:pPr>
        <w:tabs>
          <w:tab w:val="right" w:pos="9360" w:leader="dot"/>
        </w:tabs>
        <w:spacing w:after="40" w:before="40"/>
      </w:pPr>
      <w:r>
        <w:rPr>
          <w:rFonts w:ascii="Times New Roman" w:cs="Times New Roman" w:eastAsia="Times New Roman" w:hAnsi="Times New Roman"/>
          <w:b/>
          <w:bCs/>
          <w:color w:val="0D2D6B"/>
          <w:sz w:val="22"/>
          <w:szCs w:val="22"/>
        </w:rPr>
        <w:t xml:space="preserve">4.  </w:t>
      </w:r>
      <w:r>
        <w:rPr>
          <w:rFonts w:ascii="Times New Roman" w:cs="Times New Roman" w:eastAsia="Times New Roman" w:hAnsi="Times New Roman"/>
          <w:sz w:val="22"/>
          <w:szCs w:val="22"/>
        </w:rPr>
        <w:t xml:space="preserve">The End-to-End e-Prescribing Workflow</w:t>
      </w:r>
    </w:p>
    <w:p>
      <w:pPr>
        <w:tabs>
          <w:tab w:val="right" w:pos="9360" w:leader="dot"/>
        </w:tabs>
        <w:spacing w:after="40" w:before="40"/>
      </w:pPr>
      <w:r>
        <w:rPr>
          <w:rFonts w:ascii="Times New Roman" w:cs="Times New Roman" w:eastAsia="Times New Roman" w:hAnsi="Times New Roman"/>
          <w:b/>
          <w:bCs/>
          <w:color w:val="0D2D6B"/>
          <w:sz w:val="22"/>
          <w:szCs w:val="22"/>
        </w:rPr>
        <w:t xml:space="preserve">5.  </w:t>
      </w:r>
      <w:r>
        <w:rPr>
          <w:rFonts w:ascii="Times New Roman" w:cs="Times New Roman" w:eastAsia="Times New Roman" w:hAnsi="Times New Roman"/>
          <w:sz w:val="22"/>
          <w:szCs w:val="22"/>
        </w:rPr>
        <w:t xml:space="preserve">Key Standards &amp; Terminology (NCPDP, HL7, RxNorm, SNOMED CT, ICD-10)</w:t>
      </w:r>
    </w:p>
    <w:p>
      <w:pPr>
        <w:tabs>
          <w:tab w:val="right" w:pos="9360" w:leader="dot"/>
        </w:tabs>
        <w:spacing w:after="40" w:before="40"/>
      </w:pPr>
      <w:r>
        <w:rPr>
          <w:rFonts w:ascii="Times New Roman" w:cs="Times New Roman" w:eastAsia="Times New Roman" w:hAnsi="Times New Roman"/>
          <w:b/>
          <w:bCs/>
          <w:color w:val="0D2D6B"/>
          <w:sz w:val="22"/>
          <w:szCs w:val="22"/>
        </w:rPr>
        <w:t xml:space="preserve">6.  </w:t>
      </w:r>
      <w:r>
        <w:rPr>
          <w:rFonts w:ascii="Times New Roman" w:cs="Times New Roman" w:eastAsia="Times New Roman" w:hAnsi="Times New Roman"/>
          <w:sz w:val="22"/>
          <w:szCs w:val="22"/>
        </w:rPr>
        <w:t xml:space="preserve">Clinical Decision Support in e-Prescribing</w:t>
      </w:r>
    </w:p>
    <w:p>
      <w:pPr>
        <w:tabs>
          <w:tab w:val="right" w:pos="9360" w:leader="dot"/>
        </w:tabs>
        <w:spacing w:after="40" w:before="40"/>
      </w:pPr>
      <w:r>
        <w:rPr>
          <w:rFonts w:ascii="Times New Roman" w:cs="Times New Roman" w:eastAsia="Times New Roman" w:hAnsi="Times New Roman"/>
          <w:b/>
          <w:bCs/>
          <w:color w:val="0D2D6B"/>
          <w:sz w:val="22"/>
          <w:szCs w:val="22"/>
        </w:rPr>
        <w:t xml:space="preserve">7.  </w:t>
      </w:r>
      <w:r>
        <w:rPr>
          <w:rFonts w:ascii="Times New Roman" w:cs="Times New Roman" w:eastAsia="Times New Roman" w:hAnsi="Times New Roman"/>
          <w:sz w:val="22"/>
          <w:szCs w:val="22"/>
        </w:rPr>
        <w:t xml:space="preserve">Benefits, Risks, and Common Errors</w:t>
      </w:r>
    </w:p>
    <w:p>
      <w:pPr>
        <w:tabs>
          <w:tab w:val="right" w:pos="9360" w:leader="dot"/>
        </w:tabs>
        <w:spacing w:after="40" w:before="40"/>
      </w:pPr>
      <w:r>
        <w:rPr>
          <w:rFonts w:ascii="Times New Roman" w:cs="Times New Roman" w:eastAsia="Times New Roman" w:hAnsi="Times New Roman"/>
          <w:b/>
          <w:bCs/>
          <w:color w:val="0D2D6B"/>
          <w:sz w:val="22"/>
          <w:szCs w:val="22"/>
        </w:rPr>
        <w:t xml:space="preserve">8.  </w:t>
      </w:r>
      <w:r>
        <w:rPr>
          <w:rFonts w:ascii="Times New Roman" w:cs="Times New Roman" w:eastAsia="Times New Roman" w:hAnsi="Times New Roman"/>
          <w:sz w:val="22"/>
          <w:szCs w:val="22"/>
        </w:rPr>
        <w:t xml:space="preserve">Case 1 — Hospital Inpatient (CPOE)</w:t>
      </w:r>
    </w:p>
    <w:p>
      <w:pPr>
        <w:tabs>
          <w:tab w:val="right" w:pos="9360" w:leader="dot"/>
        </w:tabs>
        <w:spacing w:after="40" w:before="40"/>
      </w:pPr>
      <w:r>
        <w:rPr>
          <w:rFonts w:ascii="Times New Roman" w:cs="Times New Roman" w:eastAsia="Times New Roman" w:hAnsi="Times New Roman"/>
          <w:b/>
          <w:bCs/>
          <w:color w:val="0D2D6B"/>
          <w:sz w:val="22"/>
          <w:szCs w:val="22"/>
        </w:rPr>
        <w:t xml:space="preserve">9.  </w:t>
      </w:r>
      <w:r>
        <w:rPr>
          <w:rFonts w:ascii="Times New Roman" w:cs="Times New Roman" w:eastAsia="Times New Roman" w:hAnsi="Times New Roman"/>
          <w:sz w:val="22"/>
          <w:szCs w:val="22"/>
        </w:rPr>
        <w:t xml:space="preserve">Case 2 — Community Pharmacy (Outpatient e-Rx)</w:t>
      </w:r>
    </w:p>
    <w:p>
      <w:pPr>
        <w:tabs>
          <w:tab w:val="right" w:pos="9360" w:leader="dot"/>
        </w:tabs>
        <w:spacing w:after="40" w:before="40"/>
      </w:pPr>
      <w:r>
        <w:rPr>
          <w:rFonts w:ascii="Times New Roman" w:cs="Times New Roman" w:eastAsia="Times New Roman" w:hAnsi="Times New Roman"/>
          <w:b/>
          <w:bCs/>
          <w:color w:val="0D2D6B"/>
          <w:sz w:val="22"/>
          <w:szCs w:val="22"/>
        </w:rPr>
        <w:t xml:space="preserve">10.  </w:t>
      </w:r>
      <w:r>
        <w:rPr>
          <w:rFonts w:ascii="Times New Roman" w:cs="Times New Roman" w:eastAsia="Times New Roman" w:hAnsi="Times New Roman"/>
          <w:sz w:val="22"/>
          <w:szCs w:val="22"/>
        </w:rPr>
        <w:t xml:space="preserve">Case 3 — Controlled Substance e-Prescribing (EPCS)</w:t>
      </w:r>
    </w:p>
    <w:p>
      <w:pPr>
        <w:tabs>
          <w:tab w:val="right" w:pos="9360" w:leader="dot"/>
        </w:tabs>
        <w:spacing w:after="40" w:before="40"/>
      </w:pPr>
      <w:r>
        <w:rPr>
          <w:rFonts w:ascii="Times New Roman" w:cs="Times New Roman" w:eastAsia="Times New Roman" w:hAnsi="Times New Roman"/>
          <w:b/>
          <w:bCs/>
          <w:color w:val="0D2D6B"/>
          <w:sz w:val="22"/>
          <w:szCs w:val="22"/>
        </w:rPr>
        <w:t xml:space="preserve">11.  </w:t>
      </w:r>
      <w:r>
        <w:rPr>
          <w:rFonts w:ascii="Times New Roman" w:cs="Times New Roman" w:eastAsia="Times New Roman" w:hAnsi="Times New Roman"/>
          <w:sz w:val="22"/>
          <w:szCs w:val="22"/>
        </w:rPr>
        <w:t xml:space="preserve">MCQ Practice Bank with Rationales</w:t>
      </w:r>
    </w:p>
    <w:p>
      <w:pPr>
        <w:tabs>
          <w:tab w:val="right" w:pos="9360" w:leader="dot"/>
        </w:tabs>
        <w:spacing w:after="40" w:before="40"/>
      </w:pPr>
      <w:r>
        <w:rPr>
          <w:rFonts w:ascii="Times New Roman" w:cs="Times New Roman" w:eastAsia="Times New Roman" w:hAnsi="Times New Roman"/>
          <w:b/>
          <w:bCs/>
          <w:color w:val="0D2D6B"/>
          <w:sz w:val="22"/>
          <w:szCs w:val="22"/>
        </w:rPr>
        <w:t xml:space="preserve">12.  </w:t>
      </w:r>
      <w:r>
        <w:rPr>
          <w:rFonts w:ascii="Times New Roman" w:cs="Times New Roman" w:eastAsia="Times New Roman" w:hAnsi="Times New Roman"/>
          <w:sz w:val="22"/>
          <w:szCs w:val="22"/>
        </w:rPr>
        <w:t xml:space="preserve">Matching Exercises</w:t>
      </w:r>
    </w:p>
    <w:p>
      <w:pPr>
        <w:tabs>
          <w:tab w:val="right" w:pos="9360" w:leader="dot"/>
        </w:tabs>
        <w:spacing w:after="40" w:before="40"/>
      </w:pPr>
      <w:r>
        <w:rPr>
          <w:rFonts w:ascii="Times New Roman" w:cs="Times New Roman" w:eastAsia="Times New Roman" w:hAnsi="Times New Roman"/>
          <w:b/>
          <w:bCs/>
          <w:color w:val="0D2D6B"/>
          <w:sz w:val="22"/>
          <w:szCs w:val="22"/>
        </w:rPr>
        <w:t xml:space="preserve">13.  </w:t>
      </w:r>
      <w:r>
        <w:rPr>
          <w:rFonts w:ascii="Times New Roman" w:cs="Times New Roman" w:eastAsia="Times New Roman" w:hAnsi="Times New Roman"/>
          <w:sz w:val="22"/>
          <w:szCs w:val="22"/>
        </w:rPr>
        <w:t xml:space="preserve">Flashcard Set (High-Yield Definitions)</w:t>
      </w:r>
    </w:p>
    <w:p>
      <w:pPr>
        <w:tabs>
          <w:tab w:val="right" w:pos="9360" w:leader="dot"/>
        </w:tabs>
        <w:spacing w:after="40" w:before="40"/>
      </w:pPr>
      <w:r>
        <w:rPr>
          <w:rFonts w:ascii="Times New Roman" w:cs="Times New Roman" w:eastAsia="Times New Roman" w:hAnsi="Times New Roman"/>
          <w:b/>
          <w:bCs/>
          <w:color w:val="0D2D6B"/>
          <w:sz w:val="22"/>
          <w:szCs w:val="22"/>
        </w:rPr>
        <w:t xml:space="preserve">14.  </w:t>
      </w:r>
      <w:r>
        <w:rPr>
          <w:rFonts w:ascii="Times New Roman" w:cs="Times New Roman" w:eastAsia="Times New Roman" w:hAnsi="Times New Roman"/>
          <w:sz w:val="22"/>
          <w:szCs w:val="22"/>
        </w:rPr>
        <w:t xml:space="preserve">Glossary</w:t>
      </w:r>
    </w:p>
    <w:p>
      <w:pPr>
        <w:tabs>
          <w:tab w:val="right" w:pos="9360" w:leader="dot"/>
        </w:tabs>
        <w:spacing w:after="40" w:before="40"/>
      </w:pPr>
      <w:r>
        <w:rPr>
          <w:rFonts w:ascii="Times New Roman" w:cs="Times New Roman" w:eastAsia="Times New Roman" w:hAnsi="Times New Roman"/>
          <w:b/>
          <w:bCs/>
          <w:color w:val="0D2D6B"/>
          <w:sz w:val="22"/>
          <w:szCs w:val="22"/>
        </w:rPr>
        <w:t xml:space="preserve">15.  </w:t>
      </w:r>
      <w:r>
        <w:rPr>
          <w:rFonts w:ascii="Times New Roman" w:cs="Times New Roman" w:eastAsia="Times New Roman" w:hAnsi="Times New Roman"/>
          <w:sz w:val="22"/>
          <w:szCs w:val="22"/>
        </w:rPr>
        <w:t xml:space="preserve">Further Reading</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 Learning Objectives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By the end of this study guide and the linked interactive cases, you will be able to:</w:t>
      </w:r>
    </w:p>
    <w:p>
      <w:pPr>
        <w:pStyle w:val="ListParagraph"/>
        <w:numPr>
          <w:ilvl w:val="0"/>
          <w:numId w:val="2"/>
        </w:numPr>
        <w:spacing w:after="40" w:before="40" w:line="300"/>
      </w:pPr>
      <w:r>
        <w:rPr>
          <w:rFonts w:ascii="Times New Roman" w:cs="Times New Roman" w:eastAsia="Times New Roman" w:hAnsi="Times New Roman"/>
          <w:sz w:val="22"/>
          <w:szCs w:val="22"/>
        </w:rPr>
        <w:t xml:space="preserve">Define electronic prescribing (e-prescribing) and distinguish it from CPOE, paper prescribing, and faxed prescriptions.</w:t>
      </w:r>
    </w:p>
    <w:p>
      <w:pPr>
        <w:pStyle w:val="ListParagraph"/>
        <w:numPr>
          <w:ilvl w:val="0"/>
          <w:numId w:val="2"/>
        </w:numPr>
        <w:spacing w:after="40" w:before="40" w:line="300"/>
      </w:pPr>
      <w:r>
        <w:rPr>
          <w:rFonts w:ascii="Times New Roman" w:cs="Times New Roman" w:eastAsia="Times New Roman" w:hAnsi="Times New Roman"/>
          <w:sz w:val="22"/>
          <w:szCs w:val="22"/>
        </w:rPr>
        <w:t xml:space="preserve">Describe the end-to-end e-prescribing workflow from clinician order entry to dispensing and patient counseling.</w:t>
      </w:r>
    </w:p>
    <w:p>
      <w:pPr>
        <w:pStyle w:val="ListParagraph"/>
        <w:numPr>
          <w:ilvl w:val="0"/>
          <w:numId w:val="2"/>
        </w:numPr>
        <w:spacing w:after="40" w:before="40" w:line="300"/>
      </w:pPr>
      <w:r>
        <w:rPr>
          <w:rFonts w:ascii="Times New Roman" w:cs="Times New Roman" w:eastAsia="Times New Roman" w:hAnsi="Times New Roman"/>
          <w:sz w:val="22"/>
          <w:szCs w:val="22"/>
        </w:rPr>
        <w:t xml:space="preserve">Identify the core data elements of a structured electronic prescription and the standards that encode them.</w:t>
      </w:r>
    </w:p>
    <w:p>
      <w:pPr>
        <w:pStyle w:val="ListParagraph"/>
        <w:numPr>
          <w:ilvl w:val="0"/>
          <w:numId w:val="2"/>
        </w:numPr>
        <w:spacing w:after="40" w:before="40" w:line="300"/>
      </w:pPr>
      <w:r>
        <w:rPr>
          <w:rFonts w:ascii="Times New Roman" w:cs="Times New Roman" w:eastAsia="Times New Roman" w:hAnsi="Times New Roman"/>
          <w:sz w:val="22"/>
          <w:szCs w:val="22"/>
        </w:rPr>
        <w:t xml:space="preserve">Apply clinical decision support (CDS) checks — drug–drug interactions, allergies, dose range, duplicate therapy, formulary, renal/hepatic adjustments — to real prescribing scenarios.</w:t>
      </w:r>
    </w:p>
    <w:p>
      <w:pPr>
        <w:pStyle w:val="ListParagraph"/>
        <w:numPr>
          <w:ilvl w:val="0"/>
          <w:numId w:val="2"/>
        </w:numPr>
        <w:spacing w:after="40" w:before="40" w:line="300"/>
      </w:pPr>
      <w:r>
        <w:rPr>
          <w:rFonts w:ascii="Times New Roman" w:cs="Times New Roman" w:eastAsia="Times New Roman" w:hAnsi="Times New Roman"/>
          <w:sz w:val="22"/>
          <w:szCs w:val="22"/>
        </w:rPr>
        <w:t xml:space="preserve">Recognize the legal and technical requirements for Electronic Prescribing of Controlled Substances (EPCS), including two-factor authentication and identity proofing.</w:t>
      </w:r>
    </w:p>
    <w:p>
      <w:pPr>
        <w:pStyle w:val="ListParagraph"/>
        <w:numPr>
          <w:ilvl w:val="0"/>
          <w:numId w:val="2"/>
        </w:numPr>
        <w:spacing w:after="40" w:before="40" w:line="300"/>
      </w:pPr>
      <w:r>
        <w:rPr>
          <w:rFonts w:ascii="Times New Roman" w:cs="Times New Roman" w:eastAsia="Times New Roman" w:hAnsi="Times New Roman"/>
          <w:sz w:val="22"/>
          <w:szCs w:val="22"/>
        </w:rPr>
        <w:t xml:space="preserve">Differentiate between NCPDP SCRIPT and HL7 messaging in inpatient vs. outpatient contexts.</w:t>
      </w:r>
    </w:p>
    <w:p>
      <w:pPr>
        <w:pStyle w:val="ListParagraph"/>
        <w:numPr>
          <w:ilvl w:val="0"/>
          <w:numId w:val="2"/>
        </w:numPr>
        <w:spacing w:after="40" w:before="40" w:line="300"/>
      </w:pPr>
      <w:r>
        <w:rPr>
          <w:rFonts w:ascii="Times New Roman" w:cs="Times New Roman" w:eastAsia="Times New Roman" w:hAnsi="Times New Roman"/>
          <w:sz w:val="22"/>
          <w:szCs w:val="22"/>
        </w:rPr>
        <w:t xml:space="preserve">Critically evaluate the benefits of e-prescribing against its risks — alert fatigue, system downtime, e-iatrogenesis, and selection errors.</w:t>
      </w:r>
    </w:p>
    <w:p>
      <w:pPr>
        <w:pStyle w:val="ListParagraph"/>
        <w:numPr>
          <w:ilvl w:val="0"/>
          <w:numId w:val="2"/>
        </w:numPr>
        <w:spacing w:after="40" w:before="40" w:line="300"/>
      </w:pPr>
      <w:r>
        <w:rPr>
          <w:rFonts w:ascii="Times New Roman" w:cs="Times New Roman" w:eastAsia="Times New Roman" w:hAnsi="Times New Roman"/>
          <w:sz w:val="22"/>
          <w:szCs w:val="22"/>
        </w:rPr>
        <w:t xml:space="preserve">Resolve realistic hospital and community cases by triaging alerts, reconciling medications, and counseling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24"/>
              <w:bottom w:val="single" w:color="0A7E8C" w:sz="4"/>
              <w:right w:val="single" w:color="0A7E8C"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0A7E8C"/>
                <w:sz w:val="22"/>
                <w:szCs w:val="22"/>
              </w:rPr>
              <w:t xml:space="preserve">How to use this guide</w:t>
            </w:r>
          </w:p>
          <w:p>
            <w:pPr>
              <w:spacing w:line="300"/>
              <w:jc w:val="both"/>
            </w:pPr>
            <w:r>
              <w:rPr>
                <w:rFonts w:ascii="Times New Roman" w:cs="Times New Roman" w:eastAsia="Times New Roman" w:hAnsi="Times New Roman"/>
                <w:sz w:val="22"/>
                <w:szCs w:val="22"/>
              </w:rPr>
              <w:t xml:space="preserve">Read each section in order, attempt the case questions BEFORE checking the rationale, and use the flashcards in Section 13 for spaced review the day before assessment. The interactive companion at the QR-linked URL (Section 15) gives auto-graded practice.</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2. Foundational Definitions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Electronic prescribing sits inside a wider family of health-IT terms that students routinely confuse. Anchor these definitions first; every later concept reuses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AF0" w:sz="4"/>
              <w:left w:val="single" w:color="D0DAF0" w:sz="4"/>
              <w:bottom w:val="single" w:color="D0DAF0" w:sz="4"/>
              <w:right w:val="single" w:color="D0DAF0" w:sz="4"/>
            </w:tcBorders>
            <w:shd w:fill="0D2D6B" w:val="clear"/>
            <w:tcMar>
              <w:top w:type="dxa" w:w="100"/>
              <w:left w:type="dxa" w:w="140"/>
              <w:bottom w:type="dxa" w:w="100"/>
              <w:right w:type="dxa" w:w="140"/>
            </w:tcMar>
            <w:vAlign w:val="center"/>
          </w:tcPr>
          <w:p>
            <w:r>
              <w:rPr>
                <w:rFonts w:ascii="Times New Roman" w:cs="Times New Roman" w:eastAsia="Times New Roman" w:hAnsi="Times New Roman"/>
                <w:b/>
                <w:bCs/>
                <w:color w:val="FFFFFF"/>
                <w:sz w:val="22"/>
                <w:szCs w:val="22"/>
              </w:rPr>
              <w:t xml:space="preserve">Term</w:t>
            </w:r>
          </w:p>
        </w:tc>
        <w:tc>
          <w:tcPr>
            <w:tcW w:type="dxa" w:w="6760"/>
            <w:tcBorders>
              <w:top w:val="single" w:color="D0DAF0" w:sz="4"/>
              <w:left w:val="single" w:color="D0DAF0" w:sz="4"/>
              <w:bottom w:val="single" w:color="D0DAF0" w:sz="4"/>
              <w:right w:val="single" w:color="D0DAF0" w:sz="4"/>
            </w:tcBorders>
            <w:shd w:fill="0D2D6B"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FFFFFF"/>
                <w:sz w:val="22"/>
                <w:szCs w:val="22"/>
              </w:rPr>
              <w:t xml:space="preserve">Definition</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Electronic Prescribing (e-Prescribing)</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The computer-based generation, transmission, and filling of a medication prescription, replacing handwritten and faxed prescriptions. The prescription leaves the prescriber's system as structured electronic data — not as an image of a paper Rx.</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CPOE</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Computerized Provider Order Entry. A hospital system in which clinicians enter ALL types of orders (medications, labs, imaging, diet, nursing) directly into a computer. The medication-order portion of CPOE is the inpatient equivalent of e-prescribing.</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e-Rx (outpatient)</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An ambulatory electronic prescription, typically transmitted from a clinic EHR to a community pharmacy via a switch (e.g., Surescripts) using NCPDP SCRIPT.</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EPCS</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Electronic Prescribing of Controlled Substances. A regulated subset of e-prescribing for scheduled medications, requiring identity proofing, two-factor authentication, and a signed audit trail (DEA in the US; equivalent national regulators elsewhere).</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EHR / EMR</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Electronic Health (or Medical) Record. The clinical database that hosts the prescribing module and feeds it patient data — allergies, problem list, labs, prior medications.</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Pharmacy Information System (PIS)</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The pharmacy-side software that receives the e-prescription, performs its own clinical screening, manages inventory, supports dispensing, and produces the label.</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Clinical Decision Support (CDS)</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Software logic that delivers patient-specific assessments or recommendations at the point of prescribing — interaction checks, dose calculators, formulary alerts, renal dose adjustments.</w:t>
            </w:r>
          </w:p>
        </w:tc>
      </w:tr>
      <w:tr>
        <w:tc>
          <w:tcPr>
            <w:tcW w:type="dxa" w:w="2600"/>
            <w:tcBorders>
              <w:top w:val="single" w:color="D0DAF0" w:sz="4"/>
              <w:left w:val="single" w:color="D0DAF0" w:sz="4"/>
              <w:bottom w:val="single" w:color="D0DAF0" w:sz="4"/>
              <w:right w:val="single" w:color="D0DAF0" w:sz="4"/>
            </w:tcBorders>
            <w:shd w:fill="F2F5FF" w:val="clear"/>
            <w:tcMar>
              <w:top w:type="dxa" w:w="100"/>
              <w:left w:type="dxa" w:w="140"/>
              <w:bottom w:type="dxa" w:w="100"/>
              <w:right w:type="dxa" w:w="140"/>
            </w:tcMar>
            <w:vAlign w:val="center"/>
          </w:tcPr>
          <w:p>
            <w:r>
              <w:rPr>
                <w:rFonts w:ascii="Times New Roman" w:cs="Times New Roman" w:eastAsia="Times New Roman" w:hAnsi="Times New Roman"/>
                <w:b/>
                <w:bCs/>
                <w:color w:val="0D2D6B"/>
                <w:sz w:val="22"/>
                <w:szCs w:val="22"/>
              </w:rPr>
              <w:t xml:space="preserve">Closed-Loop Medication Management</w:t>
            </w:r>
          </w:p>
        </w:tc>
        <w:tc>
          <w:tcPr>
            <w:tcW w:type="dxa" w:w="6760"/>
            <w:tcBorders>
              <w:top w:val="single" w:color="D0DAF0" w:sz="4"/>
              <w:left w:val="single" w:color="D0DAF0" w:sz="4"/>
              <w:bottom w:val="single" w:color="D0DAF0" w:sz="4"/>
              <w:right w:val="single" w:color="D0DAF0"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An end-to-end digital chain — prescribe → verify → dispense → administer → document — in which each step is electronically linked to the next so the right drug reaches the right patient at the right time.</w:t>
            </w:r>
          </w:p>
        </w:tc>
      </w:tr>
    </w:tbl>
    <w:p>
      <w:pPr>
        <w:spacing w:after="120"/>
      </w:pPr>
      <w:r>
        <w:rPr>
          <w:rFonts w:ascii="Times New Roman" w:cs="Times New Roman" w:eastAsia="Times New Roman" w:hAnsi="Times New Roman"/>
        </w:rPr>
        <w:t xml:space="preserve"/>
      </w:r>
    </w:p>
    <w:p>
      <w:pPr>
        <w:pStyle w:val="Heading3"/>
        <w:spacing w:after="80" w:before="180"/>
      </w:pPr>
      <w:r>
        <w:rPr>
          <w:rFonts w:ascii="Times New Roman" w:cs="Times New Roman" w:eastAsia="Times New Roman" w:hAnsi="Times New Roman"/>
          <w:b/>
          <w:bCs/>
          <w:color w:val="0A7E8C"/>
          <w:sz w:val="24"/>
          <w:szCs w:val="24"/>
        </w:rPr>
        <w:t xml:space="preserve">Quick distinction: e-Prescribing vs CPOE vs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rPr>
          <w:tblHeader/>
        </w:trPr>
        <w:tc>
          <w:tcPr>
            <w:tcW w:type="dxa" w:w="22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Feature</w:t>
            </w:r>
          </w:p>
        </w:tc>
        <w:tc>
          <w:tcPr>
            <w:tcW w:type="dxa" w:w="23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Paper Rx</w:t>
            </w:r>
          </w:p>
        </w:tc>
        <w:tc>
          <w:tcPr>
            <w:tcW w:type="dxa" w:w="23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Faxed Rx</w:t>
            </w:r>
          </w:p>
        </w:tc>
        <w:tc>
          <w:tcPr>
            <w:tcW w:type="dxa" w:w="25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e-Prescribing</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Handwriting risk</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Yes</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Yes</w:t>
            </w:r>
          </w:p>
        </w:tc>
        <w:tc>
          <w:tcPr>
            <w:tcW w:type="dxa" w:w="25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Structured data</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w:t>
            </w:r>
          </w:p>
        </w:tc>
        <w:tc>
          <w:tcPr>
            <w:tcW w:type="dxa" w:w="25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Yes</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Real-time CDS</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w:t>
            </w:r>
          </w:p>
        </w:tc>
        <w:tc>
          <w:tcPr>
            <w:tcW w:type="dxa" w:w="25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Yes</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Audit trail</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Manual</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Partial</w:t>
            </w:r>
          </w:p>
        </w:tc>
        <w:tc>
          <w:tcPr>
            <w:tcW w:type="dxa" w:w="25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Full electronic</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Transmission</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Patient-carried</w:t>
            </w:r>
          </w:p>
        </w:tc>
        <w:tc>
          <w:tcPr>
            <w:tcW w:type="dxa" w:w="23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Fax line</w:t>
            </w:r>
          </w:p>
        </w:tc>
        <w:tc>
          <w:tcPr>
            <w:tcW w:type="dxa" w:w="25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Network (e.g., Surescripts, HL7)</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Controlled substances</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Allowed (with safeguards)</w:t>
            </w:r>
          </w:p>
        </w:tc>
        <w:tc>
          <w:tcPr>
            <w:tcW w:type="dxa" w:w="23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Restricted</w:t>
            </w:r>
          </w:p>
        </w:tc>
        <w:tc>
          <w:tcPr>
            <w:tcW w:type="dxa" w:w="25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Allowed via EPCS only</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3. Anatomy of an Electronic Prescription</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An electronic prescription is not a picture of a paper script — it is a structured message with discrete fields that machines and humans can both parse. Knowing the fields lets you spot what is missing or unsafe.</w:t>
      </w:r>
    </w:p>
    <w:p>
      <w:pPr>
        <w:pStyle w:val="Heading2"/>
        <w:spacing w:after="120" w:before="240"/>
      </w:pPr>
      <w:r>
        <w:rPr>
          <w:rFonts w:ascii="Times New Roman" w:cs="Times New Roman" w:eastAsia="Times New Roman" w:hAnsi="Times New Roman"/>
          <w:b/>
          <w:bCs/>
          <w:color w:val="0D2D6B"/>
          <w:sz w:val="28"/>
          <w:szCs w:val="28"/>
        </w:rPr>
        <w:t xml:space="preserve">3.1 Core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Field</w:t>
            </w:r>
          </w:p>
        </w:tc>
        <w:tc>
          <w:tcPr>
            <w:tcW w:type="dxa" w:w="3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Example</w:t>
            </w:r>
          </w:p>
        </w:tc>
        <w:tc>
          <w:tcPr>
            <w:tcW w:type="dxa" w:w="3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Standard / Code Set</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Patient identifiers</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Name, DOB, sex, MRN, national ID</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Local registry + HL7 PID segment</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Prescriber identifiers</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Name, license number, NPI/DEA equivalent, contact</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National prescriber registry</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 identification</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Amoxicillin 500 mg capsule</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RxNorm / ATC / local formulary code</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Strength &amp; dose form</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500 mg, capsule</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UCUM units; SNOMED CT dose forms</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Sig (directions)</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Take 1 capsule by mouth three times daily for 7 days</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Structured Sig (NCPDP SCRIPT Structured Sig segment)</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Quantity &amp; refills</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Dispense 21 capsules; 0 refills</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Numeric + UCUM</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Indication</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Acute otitis media</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SNOMED CT / ICD-10</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Allergies &amp; alerts</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Penicillin — anaphylaxis</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SNOMED CT / RxNorm allergen</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Authentication</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Digital signature, timestamp</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PKI / two-factor for EPCS</w:t>
            </w:r>
          </w:p>
        </w:tc>
      </w:tr>
    </w:tbl>
    <w:p>
      <w:pPr>
        <w:pStyle w:val="Heading2"/>
        <w:spacing w:after="120" w:before="240"/>
      </w:pPr>
      <w:r>
        <w:rPr>
          <w:rFonts w:ascii="Times New Roman" w:cs="Times New Roman" w:eastAsia="Times New Roman" w:hAnsi="Times New Roman"/>
          <w:b/>
          <w:bCs/>
          <w:color w:val="0D2D6B"/>
          <w:sz w:val="28"/>
          <w:szCs w:val="28"/>
        </w:rPr>
        <w:t xml:space="preserve">3.2 The Sig — why structure matters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The Sig (Latin signa, “label”) tells the patient how to take the medicine. Unstructured free-text Sigs ("take as directed") defeat clinical decision support: the system cannot compute the daily dose, so it cannot warn about exceeding the maximum. A structured Sig breaks the instruction into discrete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6"/>
              <w:left w:val="single" w:color="0D2D6B" w:sz="6"/>
              <w:bottom w:val="single" w:color="0D2D6B" w:sz="6"/>
              <w:right w:val="single" w:color="0D2D6B" w:sz="6"/>
            </w:tcBorders>
            <w:shd w:fill="F7F9FF" w:val="clear"/>
            <w:tcMar>
              <w:top w:type="dxa" w:w="160"/>
              <w:left w:type="dxa" w:w="200"/>
              <w:bottom w:type="dxa" w:w="160"/>
              <w:right w:type="dxa" w:w="200"/>
            </w:tcMar>
          </w:tcPr>
          <w:p>
            <w:pPr>
              <w:spacing w:line="240"/>
            </w:pPr>
            <w:r>
              <w:rPr>
                <w:rFonts w:ascii="Consolas" w:cs="Consolas" w:eastAsia="Consolas" w:hAnsi="Consolas"/>
                <w:sz w:val="20"/>
                <w:szCs w:val="20"/>
              </w:rPr>
              <w:t xml:space="preserve">  STRUCTURED SIG  =  DOSE  +  ROUTE  +  FREQUENCY  +  DURATION  +  INDICATION</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Free-text Sig :  "Take as directed."                  --&gt; CDS cannot parse</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Structured Sig:  Dose       = 500 mg                                      </w:t>
            </w:r>
          </w:p>
          <w:p>
            <w:pPr>
              <w:spacing w:line="240"/>
            </w:pPr>
            <w:r>
              <w:rPr>
                <w:rFonts w:ascii="Consolas" w:cs="Consolas" w:eastAsia="Consolas" w:hAnsi="Consolas"/>
                <w:sz w:val="20"/>
                <w:szCs w:val="20"/>
              </w:rPr>
              <w:t xml:space="preserve">                   Route      = oral (PO)                                   </w:t>
            </w:r>
          </w:p>
          <w:p>
            <w:pPr>
              <w:spacing w:line="240"/>
            </w:pPr>
            <w:r>
              <w:rPr>
                <w:rFonts w:ascii="Consolas" w:cs="Consolas" w:eastAsia="Consolas" w:hAnsi="Consolas"/>
                <w:sz w:val="20"/>
                <w:szCs w:val="20"/>
              </w:rPr>
              <w:t xml:space="preserve">                   Frequency  = every 8 hours (TID)                         </w:t>
            </w:r>
          </w:p>
          <w:p>
            <w:pPr>
              <w:spacing w:line="240"/>
            </w:pPr>
            <w:r>
              <w:rPr>
                <w:rFonts w:ascii="Consolas" w:cs="Consolas" w:eastAsia="Consolas" w:hAnsi="Consolas"/>
                <w:sz w:val="20"/>
                <w:szCs w:val="20"/>
              </w:rPr>
              <w:t xml:space="preserve">                   Duration   = 7 days                                      </w:t>
            </w:r>
          </w:p>
          <w:p>
            <w:pPr>
              <w:spacing w:line="240"/>
            </w:pPr>
            <w:r>
              <w:rPr>
                <w:rFonts w:ascii="Consolas" w:cs="Consolas" w:eastAsia="Consolas" w:hAnsi="Consolas"/>
                <w:sz w:val="20"/>
                <w:szCs w:val="20"/>
              </w:rPr>
              <w:t xml:space="preserve">                   Indication = acute otitis media (SNOMED 65363002)        </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--&gt; CDS now computes: daily dose = 1,500 mg; cumulative = 10,500 mg.      </w:t>
            </w:r>
          </w:p>
          <w:p>
            <w:pPr>
              <w:spacing w:line="240"/>
            </w:pPr>
            <w:r>
              <w:rPr>
                <w:rFonts w:ascii="Consolas" w:cs="Consolas" w:eastAsia="Consolas" w:hAnsi="Consolas"/>
                <w:sz w:val="20"/>
                <w:szCs w:val="20"/>
              </w:rPr>
              <w:t xml:space="preserve">  --&gt; Triggers max-dose, renal-dose, and duplicate-therapy checks.          </w:t>
            </w:r>
          </w:p>
        </w:tc>
      </w:tr>
    </w:tbl>
    <w:p>
      <w:pPr>
        <w:spacing w:after="180" w:before="60"/>
        <w:jc w:val="center"/>
      </w:pPr>
      <w:r>
        <w:rPr>
          <w:rFonts w:ascii="Times New Roman" w:cs="Times New Roman" w:eastAsia="Times New Roman" w:hAnsi="Times New Roman"/>
          <w:i/>
          <w:iCs/>
          <w:color w:val="5A6680"/>
          <w:sz w:val="20"/>
          <w:szCs w:val="20"/>
        </w:rPr>
        <w:t xml:space="preserve">Figure 3.1 — Why structured Sig fields unlock clinical decision support.</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4. The End-to-End e-Prescribing Workflow</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Memorize the seven-step flow below. Every case in this guide and every MCQ in the practice bank maps to one of these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Step</w:t>
            </w:r>
          </w:p>
        </w:tc>
        <w:tc>
          <w:tcPr>
            <w:tcW w:type="dxa" w:w="22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Stage</w:t>
            </w:r>
          </w:p>
        </w:tc>
        <w:tc>
          <w:tcPr>
            <w:tcW w:type="dxa" w:w="6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What happens</w:t>
            </w:r>
          </w:p>
        </w:tc>
      </w:tr>
      <w:tr>
        <w:tc>
          <w:tcPr>
            <w:tcW w:type="dxa" w:w="8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1</w:t>
            </w:r>
          </w:p>
        </w:tc>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Patient encounter</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Clinician opens the patient chart in the EHR; allergies, problem list, current meds, labs, and renal function are pulled in automatically.</w:t>
            </w:r>
          </w:p>
        </w:tc>
      </w:tr>
      <w:tr>
        <w:tc>
          <w:tcPr>
            <w:tcW w:type="dxa" w:w="8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2</w:t>
            </w:r>
          </w:p>
        </w:tc>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Order entry</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Clinician searches a coded drug list (RxNorm-linked formulary), selects strength, builds a structured Sig, and adds indication.</w:t>
            </w:r>
          </w:p>
        </w:tc>
      </w:tr>
      <w:tr>
        <w:tc>
          <w:tcPr>
            <w:tcW w:type="dxa" w:w="8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3</w:t>
            </w:r>
          </w:p>
        </w:tc>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Decision support</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CDS engine fires checks: allergy, drug–drug, drug–disease, dose range, duplicate therapy, formulary, renal/hepatic adjustment. Clinician acknowledges or overrides.</w:t>
            </w:r>
          </w:p>
        </w:tc>
      </w:tr>
      <w:tr>
        <w:tc>
          <w:tcPr>
            <w:tcW w:type="dxa" w:w="8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4</w:t>
            </w:r>
          </w:p>
        </w:tc>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Authentication &amp; signing</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Prescriber digitally signs. For controlled substances, two-factor authentication (EPCS) is mandatory.</w:t>
            </w:r>
          </w:p>
        </w:tc>
      </w:tr>
      <w:tr>
        <w:tc>
          <w:tcPr>
            <w:tcW w:type="dxa" w:w="8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5</w:t>
            </w:r>
          </w:p>
        </w:tc>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Transmission</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Message is routed — inpatient via HL7 inside the hospital; outpatient via NCPDP SCRIPT through a switch (e.g., Surescripts) to the patient-selected pharmacy.</w:t>
            </w:r>
          </w:p>
        </w:tc>
      </w:tr>
      <w:tr>
        <w:tc>
          <w:tcPr>
            <w:tcW w:type="dxa" w:w="8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6</w:t>
            </w:r>
          </w:p>
        </w:tc>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Pharmacy receipt &amp; verification</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Pharmacy Information System receives the structured message. The pharmacist performs a second clinical screen and may use RxFill / Change Request / Cancel messages to communicate back.</w:t>
            </w:r>
          </w:p>
        </w:tc>
      </w:tr>
      <w:tr>
        <w:tc>
          <w:tcPr>
            <w:tcW w:type="dxa" w:w="8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7</w:t>
            </w:r>
          </w:p>
        </w:tc>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Dispense, administer, document</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 is dispensed (community) or administered with bar-code scanning (hospital). Administration is documented in the eMAR, closing the loop.</w:t>
            </w:r>
          </w:p>
        </w:tc>
      </w:tr>
    </w:tbl>
    <w:p>
      <w:pPr>
        <w:spacing w:after="12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6"/>
              <w:left w:val="single" w:color="0D2D6B" w:sz="6"/>
              <w:bottom w:val="single" w:color="0D2D6B" w:sz="6"/>
              <w:right w:val="single" w:color="0D2D6B" w:sz="6"/>
            </w:tcBorders>
            <w:shd w:fill="F7F9FF" w:val="clear"/>
            <w:tcMar>
              <w:top w:type="dxa" w:w="160"/>
              <w:left w:type="dxa" w:w="200"/>
              <w:bottom w:type="dxa" w:w="160"/>
              <w:right w:type="dxa" w:w="200"/>
            </w:tcMar>
          </w:tcPr>
          <w:p>
            <w:pPr>
              <w:spacing w:line="240"/>
            </w:pPr>
            <w:r>
              <w:rPr>
                <w:rFonts w:ascii="Consolas" w:cs="Consolas" w:eastAsia="Consolas" w:hAnsi="Consolas"/>
                <w:sz w:val="20"/>
                <w:szCs w:val="20"/>
              </w:rPr>
              <w:t xml:space="preserve"> ┌───────────┐   ┌─────────┐   ┌────────┐   ┌────────┐   ┌──────────┐   ┌──────────┐   ┌─────────┐</w:t>
            </w:r>
          </w:p>
          <w:p>
            <w:pPr>
              <w:spacing w:line="240"/>
            </w:pPr>
            <w:r>
              <w:rPr>
                <w:rFonts w:ascii="Consolas" w:cs="Consolas" w:eastAsia="Consolas" w:hAnsi="Consolas"/>
                <w:sz w:val="20"/>
                <w:szCs w:val="20"/>
              </w:rPr>
              <w:t xml:space="preserve"> │ Encounter │ → │  Order  │ → │  CDS   │ → │ Sign + │ → │ Transmit │ → │ Pharmacy │ → │ Dispense│</w:t>
            </w:r>
          </w:p>
          <w:p>
            <w:pPr>
              <w:spacing w:line="240"/>
            </w:pPr>
            <w:r>
              <w:rPr>
                <w:rFonts w:ascii="Consolas" w:cs="Consolas" w:eastAsia="Consolas" w:hAnsi="Consolas"/>
                <w:sz w:val="20"/>
                <w:szCs w:val="20"/>
              </w:rPr>
              <w:t xml:space="preserve"> │  (EHR)    │   │  Entry  │   │ checks │   │  Auth  │   │  (SCRIPT │   │ verify   │   │  + eMAR │</w:t>
            </w:r>
          </w:p>
          <w:p>
            <w:pPr>
              <w:spacing w:line="240"/>
            </w:pPr>
            <w:r>
              <w:rPr>
                <w:rFonts w:ascii="Consolas" w:cs="Consolas" w:eastAsia="Consolas" w:hAnsi="Consolas"/>
                <w:sz w:val="20"/>
                <w:szCs w:val="20"/>
              </w:rPr>
              <w:t xml:space="preserve"> │           │   │ (RxNorm)│   │        │   │ (EPCS) │   │  / HL7)  │   │  (PIS)   │   │  / BCMA │</w:t>
            </w:r>
          </w:p>
          <w:p>
            <w:pPr>
              <w:spacing w:line="240"/>
            </w:pPr>
            <w:r>
              <w:rPr>
                <w:rFonts w:ascii="Consolas" w:cs="Consolas" w:eastAsia="Consolas" w:hAnsi="Consolas"/>
                <w:sz w:val="20"/>
                <w:szCs w:val="20"/>
              </w:rPr>
              <w:t xml:space="preserve"> └───────────┘   └─────────┘   └────────┘   └────────┘   └──────────┘   └──────────┘   └─────────┘</w:t>
            </w:r>
          </w:p>
          <w:p>
            <w:pPr>
              <w:spacing w:line="240"/>
            </w:pPr>
            <w:r>
              <w:rPr>
                <w:rFonts w:ascii="Consolas" w:cs="Consolas" w:eastAsia="Consolas" w:hAnsi="Consolas"/>
                <w:sz w:val="20"/>
                <w:szCs w:val="20"/>
              </w:rPr>
              <w:t xml:space="preserve">                                                                                                  </w:t>
            </w:r>
          </w:p>
          <w:p>
            <w:pPr>
              <w:spacing w:line="240"/>
            </w:pPr>
            <w:r>
              <w:rPr>
                <w:rFonts w:ascii="Consolas" w:cs="Consolas" w:eastAsia="Consolas" w:hAnsi="Consolas"/>
                <w:sz w:val="20"/>
                <w:szCs w:val="20"/>
              </w:rPr>
              <w:t xml:space="preserve">          ←──────────────────────  RxChange / RxFill / RxCancel feedback  ──────────────────────→ </w:t>
            </w:r>
          </w:p>
        </w:tc>
      </w:tr>
    </w:tbl>
    <w:p>
      <w:pPr>
        <w:spacing w:after="180" w:before="60"/>
        <w:jc w:val="center"/>
      </w:pPr>
      <w:r>
        <w:rPr>
          <w:rFonts w:ascii="Times New Roman" w:cs="Times New Roman" w:eastAsia="Times New Roman" w:hAnsi="Times New Roman"/>
          <w:i/>
          <w:iCs/>
          <w:color w:val="5A6680"/>
          <w:sz w:val="20"/>
          <w:szCs w:val="20"/>
        </w:rPr>
        <w:t xml:space="preserve">Figure 4.1 — End-to-end e-prescribing workflow with bidirectional pharmacy feedback.</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5. Key Standards &amp; Terminology</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E-prescribing is interoperable only because shared standards let one vendor's system understand another's. Master the table below — at least one MCQ in every assessment tests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Standard</w:t>
            </w:r>
          </w:p>
        </w:tc>
        <w:tc>
          <w:tcPr>
            <w:tcW w:type="dxa" w:w="24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Owner</w:t>
            </w:r>
          </w:p>
        </w:tc>
        <w:tc>
          <w:tcPr>
            <w:tcW w:type="dxa" w:w="47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What it does</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NCPDP SCRIPT</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National Council for Prescription Drug Programs</w:t>
            </w:r>
          </w:p>
        </w:tc>
        <w:tc>
          <w:tcPr>
            <w:tcW w:type="dxa" w:w="4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 dominant standard for outpatient e-prescribing transactions: NewRx, RxRenewal, RxChange, CancelRx, RxFill, Medication History.</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HL7 v2 / FHIR</w:t>
            </w:r>
          </w:p>
        </w:tc>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Health Level Seven International</w:t>
            </w:r>
          </w:p>
        </w:tc>
        <w:tc>
          <w:tcPr>
            <w:tcW w:type="dxa" w:w="4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Inpatient messaging between EHR, pharmacy, lab, and devices. FHIR (Fast Healthcare Interoperability Resources) is the modern REST/JSON-based successor used increasingly for e-Rx APIs.</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RxNorm</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U.S. National Library of Medicine</w:t>
            </w:r>
          </w:p>
        </w:tc>
        <w:tc>
          <w:tcPr>
            <w:tcW w:type="dxa" w:w="4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Normalized naming for clinical drugs — links brand, generic, ingredient, strength, and dose form across vocabularies.</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SNOMED CT</w:t>
            </w:r>
          </w:p>
        </w:tc>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SNOMED International</w:t>
            </w:r>
          </w:p>
        </w:tc>
        <w:tc>
          <w:tcPr>
            <w:tcW w:type="dxa" w:w="4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Clinical terminology for diagnoses, findings, procedures, allergens, and dose forms — drives indication-based prescribing.</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ICD-10</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World Health Organization</w:t>
            </w:r>
          </w:p>
        </w:tc>
        <w:tc>
          <w:tcPr>
            <w:tcW w:type="dxa" w:w="4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Diagnostic codes used for billing and indication capture (e.g., J01.90 for unspecified acute sinusitis).</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LOINC</w:t>
            </w:r>
          </w:p>
        </w:tc>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Regenstrief Institute</w:t>
            </w:r>
          </w:p>
        </w:tc>
        <w:tc>
          <w:tcPr>
            <w:tcW w:type="dxa" w:w="4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Laboratory and clinical observation codes — used by CDS for renal/hepatic dosing checks (eGFR LOINC: 33914-3).</w:t>
            </w:r>
          </w:p>
        </w:tc>
      </w:tr>
      <w:tr>
        <w:tc>
          <w:tcPr>
            <w:tcW w:type="dxa" w:w="22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UCUM</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Regenstrief Institute</w:t>
            </w:r>
          </w:p>
        </w:tc>
        <w:tc>
          <w:tcPr>
            <w:tcW w:type="dxa" w:w="4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Unified Code for Units of Measure (mg, mL, mmol/L). Prevents unit ambiguity in dose and lab fields.</w:t>
            </w:r>
          </w:p>
        </w:tc>
      </w:tr>
      <w:tr>
        <w:tc>
          <w:tcPr>
            <w:tcW w:type="dxa" w:w="22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DEA Interim Final Rule (US) / Equivalent</w:t>
            </w:r>
          </w:p>
        </w:tc>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DEA / National regulators</w:t>
            </w:r>
          </w:p>
        </w:tc>
        <w:tc>
          <w:tcPr>
            <w:tcW w:type="dxa" w:w="4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Defines EPCS technical requirements: identity proofing, two-factor authentication, audit logs.</w:t>
            </w:r>
          </w:p>
        </w:tc>
      </w:tr>
    </w:tbl>
    <w:p>
      <w:pPr>
        <w:spacing w:after="12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E8C" w:sz="4"/>
              <w:left w:val="single" w:color="0A7E8C" w:sz="24"/>
              <w:bottom w:val="single" w:color="0A7E8C" w:sz="4"/>
              <w:right w:val="single" w:color="0A7E8C"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0A7E8C"/>
                <w:sz w:val="22"/>
                <w:szCs w:val="22"/>
              </w:rPr>
              <w:t xml:space="preserve">MENA context</w:t>
            </w:r>
          </w:p>
          <w:p>
            <w:pPr>
              <w:spacing w:line="300"/>
              <w:jc w:val="both"/>
            </w:pPr>
            <w:r>
              <w:rPr>
                <w:rFonts w:ascii="Times New Roman" w:cs="Times New Roman" w:eastAsia="Times New Roman" w:hAnsi="Times New Roman"/>
                <w:sz w:val="22"/>
                <w:szCs w:val="22"/>
              </w:rPr>
              <w:t xml:space="preserve">In Jordan and the wider MENA region, hospitals typically adopt HL7 v2 internally for CPOE-to-pharmacy messaging, while ambulatory e-prescribing is emerging through national e-health platforms (e.g., the Hakeem programme). RxNorm and SNOMED CT are increasingly mapped to local drug registries to enable cross-border interoperability and pharmacovigilance.</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6. Clinical Decision Support in e-Prescribing</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CDS is the value-add of e-prescribing. Without CDS, an electronic prescription is just a faster fax. The seven canonical checks below should be recognizable on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Check</w:t>
            </w:r>
          </w:p>
        </w:tc>
        <w:tc>
          <w:tcPr>
            <w:tcW w:type="dxa" w:w="3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What it screens for</w:t>
            </w:r>
          </w:p>
        </w:tc>
        <w:tc>
          <w:tcPr>
            <w:tcW w:type="dxa" w:w="3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Example trigger</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Drug–allergy</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Documented allergies vs. prescribed agent or cross-reactive class</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Cefuroxime ordered for a penicillin-anaphylaxis patient</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Drug–drug interaction (DDI)</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Pharmacokinetic or pharmacodynamic interactions</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Warfarin + new ciprofloxacin → INR rise</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Drug–disease</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Contraindication or caution in a documented condition</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NSAID ordered for a patient with stage 4 CKD</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Dose range checking</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Single dose, daily dose, and cumulative dose limits</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Paracetamol &gt; 4 g/day in an adult</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Duplicate therapy</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Two drugs from the same class or with the same indication</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Two PPIs co-prescribed</w:t>
            </w:r>
          </w:p>
        </w:tc>
      </w:tr>
      <w:tr>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Formulary / preferred-agent</w:t>
            </w:r>
          </w:p>
        </w:tc>
        <w:tc>
          <w:tcPr>
            <w:tcW w:type="dxa" w:w="3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Health-plan or hospital formulary status</w:t>
            </w:r>
          </w:p>
        </w:tc>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Brand prescribed when therapeutic-equivalent generic is preferred</w:t>
            </w:r>
          </w:p>
        </w:tc>
      </w:tr>
      <w:tr>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Renal / hepatic adjustment</w:t>
            </w:r>
          </w:p>
        </w:tc>
        <w:tc>
          <w:tcPr>
            <w:tcW w:type="dxa" w:w="3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Dose modification driven by eGFR or Child-Pugh score</w:t>
            </w:r>
          </w:p>
        </w:tc>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Enoxaparin standard dose when eGFR is 22 mL/min/1.73 m²</w:t>
            </w:r>
          </w:p>
        </w:tc>
      </w:tr>
    </w:tbl>
    <w:p>
      <w:pPr>
        <w:spacing w:after="120"/>
      </w:pPr>
      <w:r>
        <w:rPr>
          <w:rFonts w:ascii="Times New Roman" w:cs="Times New Roman" w:eastAsia="Times New Roman" w:hAnsi="Times New Roman"/>
        </w:rPr>
        <w:t xml:space="preserve"/>
      </w:r>
    </w:p>
    <w:p>
      <w:pPr>
        <w:pStyle w:val="Heading2"/>
        <w:spacing w:after="120" w:before="240"/>
      </w:pPr>
      <w:r>
        <w:rPr>
          <w:rFonts w:ascii="Times New Roman" w:cs="Times New Roman" w:eastAsia="Times New Roman" w:hAnsi="Times New Roman"/>
          <w:b/>
          <w:bCs/>
          <w:color w:val="0D2D6B"/>
          <w:sz w:val="28"/>
          <w:szCs w:val="28"/>
        </w:rPr>
        <w:t xml:space="preserve">6.1 Alert fatigue — the dark side of CDS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If a CDS engine fires 50 alerts per shift and 95% are clinically trivial, prescribers learn to click "Override" reflexively. A genuinely dangerous alert then gets dismissed alongside the noise. This is alert fatigue — a recognized cause of e-iatrogenic harm.</w:t>
      </w:r>
    </w:p>
    <w:p>
      <w:pPr>
        <w:pStyle w:val="ListParagraph"/>
        <w:numPr>
          <w:ilvl w:val="0"/>
          <w:numId w:val="2"/>
        </w:numPr>
        <w:spacing w:after="40" w:before="40" w:line="300"/>
      </w:pPr>
      <w:r>
        <w:rPr>
          <w:rFonts w:ascii="Times New Roman" w:cs="Times New Roman" w:eastAsia="Times New Roman" w:hAnsi="Times New Roman"/>
          <w:sz w:val="22"/>
          <w:szCs w:val="22"/>
        </w:rPr>
        <w:t xml:space="preserve">Tier alerts by severity (hard stop, warn, informational).</w:t>
      </w:r>
    </w:p>
    <w:p>
      <w:pPr>
        <w:pStyle w:val="ListParagraph"/>
        <w:numPr>
          <w:ilvl w:val="0"/>
          <w:numId w:val="2"/>
        </w:numPr>
        <w:spacing w:after="40" w:before="40" w:line="300"/>
      </w:pPr>
      <w:r>
        <w:rPr>
          <w:rFonts w:ascii="Times New Roman" w:cs="Times New Roman" w:eastAsia="Times New Roman" w:hAnsi="Times New Roman"/>
          <w:sz w:val="22"/>
          <w:szCs w:val="22"/>
        </w:rPr>
        <w:t xml:space="preserve">Hide or suppress alerts known to have very low positive-predictive value in your population.</w:t>
      </w:r>
    </w:p>
    <w:p>
      <w:pPr>
        <w:pStyle w:val="ListParagraph"/>
        <w:numPr>
          <w:ilvl w:val="0"/>
          <w:numId w:val="2"/>
        </w:numPr>
        <w:spacing w:after="40" w:before="40" w:line="300"/>
      </w:pPr>
      <w:r>
        <w:rPr>
          <w:rFonts w:ascii="Times New Roman" w:cs="Times New Roman" w:eastAsia="Times New Roman" w:hAnsi="Times New Roman"/>
          <w:sz w:val="22"/>
          <w:szCs w:val="22"/>
        </w:rPr>
        <w:t xml:space="preserve">Require a structured override reason for high-severity alerts (creates an audit trail and discourages reflex overrides).</w:t>
      </w:r>
    </w:p>
    <w:p>
      <w:pPr>
        <w:pStyle w:val="ListParagraph"/>
        <w:numPr>
          <w:ilvl w:val="0"/>
          <w:numId w:val="2"/>
        </w:numPr>
        <w:spacing w:after="40" w:before="40" w:line="300"/>
      </w:pPr>
      <w:r>
        <w:rPr>
          <w:rFonts w:ascii="Times New Roman" w:cs="Times New Roman" w:eastAsia="Times New Roman" w:hAnsi="Times New Roman"/>
          <w:sz w:val="22"/>
          <w:szCs w:val="22"/>
        </w:rPr>
        <w:t xml:space="preserve">Audit override rates by alert type and by prescriber, and feed back to clinical governance.</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7. Benefits, Risks, and Common Errors</w:t>
      </w:r>
    </w:p>
    <w:p>
      <w:pPr>
        <w:pStyle w:val="Heading2"/>
        <w:spacing w:after="120" w:before="240"/>
      </w:pPr>
      <w:r>
        <w:rPr>
          <w:rFonts w:ascii="Times New Roman" w:cs="Times New Roman" w:eastAsia="Times New Roman" w:hAnsi="Times New Roman"/>
          <w:b/>
          <w:bCs/>
          <w:color w:val="0D2D6B"/>
          <w:sz w:val="28"/>
          <w:szCs w:val="28"/>
        </w:rPr>
        <w:t xml:space="preserve">7.1 Benefits</w:t>
      </w:r>
    </w:p>
    <w:p>
      <w:pPr>
        <w:pStyle w:val="ListParagraph"/>
        <w:numPr>
          <w:ilvl w:val="0"/>
          <w:numId w:val="2"/>
        </w:numPr>
        <w:spacing w:after="40" w:before="40" w:line="300"/>
      </w:pPr>
      <w:r>
        <w:rPr>
          <w:rFonts w:ascii="Times New Roman" w:cs="Times New Roman" w:eastAsia="Times New Roman" w:hAnsi="Times New Roman"/>
          <w:sz w:val="22"/>
          <w:szCs w:val="22"/>
        </w:rPr>
        <w:t xml:space="preserve">Legibility — eliminates handwriting-related dispensing errors.</w:t>
      </w:r>
    </w:p>
    <w:p>
      <w:pPr>
        <w:pStyle w:val="ListParagraph"/>
        <w:numPr>
          <w:ilvl w:val="0"/>
          <w:numId w:val="2"/>
        </w:numPr>
        <w:spacing w:after="40" w:before="40" w:line="300"/>
      </w:pPr>
      <w:r>
        <w:rPr>
          <w:rFonts w:ascii="Times New Roman" w:cs="Times New Roman" w:eastAsia="Times New Roman" w:hAnsi="Times New Roman"/>
          <w:sz w:val="22"/>
          <w:szCs w:val="22"/>
        </w:rPr>
        <w:t xml:space="preserve">Built-in CDS — interaction, allergy, dose, and duplicate-therapy screening at the point of order entry.</w:t>
      </w:r>
    </w:p>
    <w:p>
      <w:pPr>
        <w:pStyle w:val="ListParagraph"/>
        <w:numPr>
          <w:ilvl w:val="0"/>
          <w:numId w:val="2"/>
        </w:numPr>
        <w:spacing w:after="40" w:before="40" w:line="300"/>
      </w:pPr>
      <w:r>
        <w:rPr>
          <w:rFonts w:ascii="Times New Roman" w:cs="Times New Roman" w:eastAsia="Times New Roman" w:hAnsi="Times New Roman"/>
          <w:sz w:val="22"/>
          <w:szCs w:val="22"/>
        </w:rPr>
        <w:t xml:space="preserve">Faster pharmacy turnaround and fewer call-backs for clarification.</w:t>
      </w:r>
    </w:p>
    <w:p>
      <w:pPr>
        <w:pStyle w:val="ListParagraph"/>
        <w:numPr>
          <w:ilvl w:val="0"/>
          <w:numId w:val="2"/>
        </w:numPr>
        <w:spacing w:after="40" w:before="40" w:line="300"/>
      </w:pPr>
      <w:r>
        <w:rPr>
          <w:rFonts w:ascii="Times New Roman" w:cs="Times New Roman" w:eastAsia="Times New Roman" w:hAnsi="Times New Roman"/>
          <w:sz w:val="22"/>
          <w:szCs w:val="22"/>
        </w:rPr>
        <w:t xml:space="preserve">Structured data for pharmacovigilance, prescribing audits, and formulary management.</w:t>
      </w:r>
    </w:p>
    <w:p>
      <w:pPr>
        <w:pStyle w:val="ListParagraph"/>
        <w:numPr>
          <w:ilvl w:val="0"/>
          <w:numId w:val="2"/>
        </w:numPr>
        <w:spacing w:after="40" w:before="40" w:line="300"/>
      </w:pPr>
      <w:r>
        <w:rPr>
          <w:rFonts w:ascii="Times New Roman" w:cs="Times New Roman" w:eastAsia="Times New Roman" w:hAnsi="Times New Roman"/>
          <w:sz w:val="22"/>
          <w:szCs w:val="22"/>
        </w:rPr>
        <w:t xml:space="preserve">Reduced loss of prescriptions; auditable transmission and receipt.</w:t>
      </w:r>
    </w:p>
    <w:p>
      <w:pPr>
        <w:pStyle w:val="ListParagraph"/>
        <w:numPr>
          <w:ilvl w:val="0"/>
          <w:numId w:val="2"/>
        </w:numPr>
        <w:spacing w:after="40" w:before="40" w:line="300"/>
      </w:pPr>
      <w:r>
        <w:rPr>
          <w:rFonts w:ascii="Times New Roman" w:cs="Times New Roman" w:eastAsia="Times New Roman" w:hAnsi="Times New Roman"/>
          <w:sz w:val="22"/>
          <w:szCs w:val="22"/>
        </w:rPr>
        <w:t xml:space="preserve">Better adherence support — refill reminders, electronic medication history at every encounter.</w:t>
      </w:r>
    </w:p>
    <w:p>
      <w:pPr>
        <w:pStyle w:val="Heading2"/>
        <w:spacing w:after="120" w:before="240"/>
      </w:pPr>
      <w:r>
        <w:rPr>
          <w:rFonts w:ascii="Times New Roman" w:cs="Times New Roman" w:eastAsia="Times New Roman" w:hAnsi="Times New Roman"/>
          <w:b/>
          <w:bCs/>
          <w:color w:val="0D2D6B"/>
          <w:sz w:val="28"/>
          <w:szCs w:val="28"/>
        </w:rPr>
        <w:t xml:space="preserve">7.2 Risks and e-Iatrogenesis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E-iatrogenesis refers to harm caused or facilitated by the health-IT system itself. Recognize these patterns:</w:t>
      </w:r>
    </w:p>
    <w:p>
      <w:pPr>
        <w:pStyle w:val="ListParagraph"/>
        <w:numPr>
          <w:ilvl w:val="0"/>
          <w:numId w:val="2"/>
        </w:numPr>
        <w:spacing w:after="40" w:before="40" w:line="300"/>
      </w:pPr>
      <w:r>
        <w:rPr>
          <w:rFonts w:ascii="Times New Roman" w:cs="Times New Roman" w:eastAsia="Times New Roman" w:hAnsi="Times New Roman"/>
          <w:sz w:val="22"/>
          <w:szCs w:val="22"/>
        </w:rPr>
        <w:t xml:space="preserve">Selection (pick-list) errors — clicking the wrong drug or strength from a dropdown that lists look-alike names alphabetically.</w:t>
      </w:r>
    </w:p>
    <w:p>
      <w:pPr>
        <w:pStyle w:val="ListParagraph"/>
        <w:numPr>
          <w:ilvl w:val="0"/>
          <w:numId w:val="2"/>
        </w:numPr>
        <w:spacing w:after="40" w:before="40" w:line="300"/>
      </w:pPr>
      <w:r>
        <w:rPr>
          <w:rFonts w:ascii="Times New Roman" w:cs="Times New Roman" w:eastAsia="Times New Roman" w:hAnsi="Times New Roman"/>
          <w:sz w:val="22"/>
          <w:szCs w:val="22"/>
        </w:rPr>
        <w:t xml:space="preserve">Default-dose anchoring — accepting a pre-populated dose without verifying against the patient's renal function or weight.</w:t>
      </w:r>
    </w:p>
    <w:p>
      <w:pPr>
        <w:pStyle w:val="ListParagraph"/>
        <w:numPr>
          <w:ilvl w:val="0"/>
          <w:numId w:val="2"/>
        </w:numPr>
        <w:spacing w:after="40" w:before="40" w:line="300"/>
      </w:pPr>
      <w:r>
        <w:rPr>
          <w:rFonts w:ascii="Times New Roman" w:cs="Times New Roman" w:eastAsia="Times New Roman" w:hAnsi="Times New Roman"/>
          <w:sz w:val="22"/>
          <w:szCs w:val="22"/>
        </w:rPr>
        <w:t xml:space="preserve">Alert fatigue and reflex overrides.</w:t>
      </w:r>
    </w:p>
    <w:p>
      <w:pPr>
        <w:pStyle w:val="ListParagraph"/>
        <w:numPr>
          <w:ilvl w:val="0"/>
          <w:numId w:val="2"/>
        </w:numPr>
        <w:spacing w:after="40" w:before="40" w:line="300"/>
      </w:pPr>
      <w:r>
        <w:rPr>
          <w:rFonts w:ascii="Times New Roman" w:cs="Times New Roman" w:eastAsia="Times New Roman" w:hAnsi="Times New Roman"/>
          <w:sz w:val="22"/>
          <w:szCs w:val="22"/>
        </w:rPr>
        <w:t xml:space="preserve">Wrong-patient orders when multiple charts are open simultaneously.</w:t>
      </w:r>
    </w:p>
    <w:p>
      <w:pPr>
        <w:pStyle w:val="ListParagraph"/>
        <w:numPr>
          <w:ilvl w:val="0"/>
          <w:numId w:val="2"/>
        </w:numPr>
        <w:spacing w:after="40" w:before="40" w:line="300"/>
      </w:pPr>
      <w:r>
        <w:rPr>
          <w:rFonts w:ascii="Times New Roman" w:cs="Times New Roman" w:eastAsia="Times New Roman" w:hAnsi="Times New Roman"/>
          <w:sz w:val="22"/>
          <w:szCs w:val="22"/>
        </w:rPr>
        <w:t xml:space="preserve">System downtime — staff revert to paper without practiced backup procedures.</w:t>
      </w:r>
    </w:p>
    <w:p>
      <w:pPr>
        <w:pStyle w:val="ListParagraph"/>
        <w:numPr>
          <w:ilvl w:val="0"/>
          <w:numId w:val="2"/>
        </w:numPr>
        <w:spacing w:after="40" w:before="40" w:line="300"/>
      </w:pPr>
      <w:r>
        <w:rPr>
          <w:rFonts w:ascii="Times New Roman" w:cs="Times New Roman" w:eastAsia="Times New Roman" w:hAnsi="Times New Roman"/>
          <w:sz w:val="22"/>
          <w:szCs w:val="22"/>
        </w:rPr>
        <w:t xml:space="preserve">Free-text Sig defeating CDS calculations.</w:t>
      </w:r>
    </w:p>
    <w:p>
      <w:pPr>
        <w:pStyle w:val="ListParagraph"/>
        <w:numPr>
          <w:ilvl w:val="0"/>
          <w:numId w:val="2"/>
        </w:numPr>
        <w:spacing w:after="40" w:before="40" w:line="300"/>
      </w:pPr>
      <w:r>
        <w:rPr>
          <w:rFonts w:ascii="Times New Roman" w:cs="Times New Roman" w:eastAsia="Times New Roman" w:hAnsi="Times New Roman"/>
          <w:sz w:val="22"/>
          <w:szCs w:val="22"/>
        </w:rPr>
        <w:t xml:space="preserve">Mass-update mistakes when a formulary change cascades incorrectly across active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000" w:sz="4"/>
              <w:left w:val="single" w:color="B08000" w:sz="24"/>
              <w:bottom w:val="single" w:color="B08000" w:sz="4"/>
              <w:right w:val="single" w:color="B08000" w:sz="4"/>
            </w:tcBorders>
            <w:shd w:fill="FFF7E0" w:val="clear"/>
            <w:tcMar>
              <w:top w:type="dxa" w:w="140"/>
              <w:left w:type="dxa" w:w="200"/>
              <w:bottom w:type="dxa" w:w="140"/>
              <w:right w:type="dxa" w:w="200"/>
            </w:tcMar>
          </w:tcPr>
          <w:p>
            <w:pPr>
              <w:spacing w:after="60"/>
            </w:pPr>
            <w:r>
              <w:rPr>
                <w:rFonts w:ascii="Times New Roman" w:cs="Times New Roman" w:eastAsia="Times New Roman" w:hAnsi="Times New Roman"/>
                <w:b/>
                <w:bCs/>
                <w:color w:val="B08000"/>
                <w:sz w:val="22"/>
                <w:szCs w:val="22"/>
              </w:rPr>
              <w:t xml:space="preserve">Pearl — "e-prescribing changes the error landscape, it does not erase it"</w:t>
            </w:r>
          </w:p>
          <w:p>
            <w:pPr>
              <w:spacing w:line="300"/>
              <w:jc w:val="both"/>
            </w:pPr>
            <w:r>
              <w:rPr>
                <w:rFonts w:ascii="Times New Roman" w:cs="Times New Roman" w:eastAsia="Times New Roman" w:hAnsi="Times New Roman"/>
                <w:sz w:val="22"/>
                <w:szCs w:val="22"/>
              </w:rPr>
              <w:t xml:space="preserve">Paper-era errors (illegibility, wrong abbreviations) fall; system-era errors (selection, default, alert-fatigue) rise. The pharmacist's verification step remains the indispensable safety net.</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8. Case 1 — Hospital Inpatient (CPOE)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4"/>
              <w:left w:val="single" w:color="0D2D6B" w:sz="24"/>
              <w:bottom w:val="single" w:color="0D2D6B" w:sz="4"/>
              <w:right w:val="single" w:color="0D2D6B"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0D2D6B"/>
                <w:sz w:val="22"/>
                <w:szCs w:val="22"/>
              </w:rPr>
              <w:t xml:space="preserve">Patient</w:t>
            </w:r>
          </w:p>
          <w:p>
            <w:pPr>
              <w:spacing w:line="300"/>
              <w:jc w:val="both"/>
            </w:pPr>
            <w:r>
              <w:rPr>
                <w:rFonts w:ascii="Times New Roman" w:cs="Times New Roman" w:eastAsia="Times New Roman" w:hAnsi="Times New Roman"/>
                <w:sz w:val="22"/>
                <w:szCs w:val="22"/>
              </w:rPr>
              <w:t xml:space="preserve">Mr. Ahmad N., 68 years old, admitted to the medical ward at Jordan University Hospital with community-acquired pneumonia. Weight 72 kg. Serum creatinine 1.8 mg/dL; calculated eGFR 38 mL/min/1.73 m². Documented allergy: penicillin — anaphylaxis. Current home medications: metformin 1 g BID, amlodipine 5 mg OD, atorvastatin 20 mg OD.</w:t>
            </w:r>
          </w:p>
        </w:tc>
      </w:tr>
    </w:tbl>
    <w:p>
      <w:pPr>
        <w:pStyle w:val="Heading3"/>
        <w:spacing w:after="80" w:before="180"/>
      </w:pPr>
      <w:r>
        <w:rPr>
          <w:rFonts w:ascii="Times New Roman" w:cs="Times New Roman" w:eastAsia="Times New Roman" w:hAnsi="Times New Roman"/>
          <w:b/>
          <w:bCs/>
          <w:color w:val="0A7E8C"/>
          <w:sz w:val="24"/>
          <w:szCs w:val="24"/>
        </w:rPr>
        <w:t xml:space="preserve">Order placed in CPOE</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The admitting physician searches the EHR formulary and selects: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6B" w:sz="4"/>
              <w:left w:val="single" w:color="FF6B6B" w:sz="24"/>
              <w:bottom w:val="single" w:color="FF6B6B" w:sz="4"/>
              <w:right w:val="single" w:color="FF6B6B" w:sz="4"/>
            </w:tcBorders>
            <w:shd w:fill="FFF0F0" w:val="clear"/>
            <w:tcMar>
              <w:top w:type="dxa" w:w="140"/>
              <w:left w:type="dxa" w:w="200"/>
              <w:bottom w:type="dxa" w:w="140"/>
              <w:right w:type="dxa" w:w="200"/>
            </w:tcMar>
          </w:tcPr>
          <w:p>
            <w:pPr>
              <w:spacing w:after="60"/>
            </w:pPr>
            <w:r>
              <w:rPr>
                <w:rFonts w:ascii="Times New Roman" w:cs="Times New Roman" w:eastAsia="Times New Roman" w:hAnsi="Times New Roman"/>
                <w:b/>
                <w:bCs/>
                <w:color w:val="FF6B6B"/>
                <w:sz w:val="22"/>
                <w:szCs w:val="22"/>
              </w:rPr>
              <w:t xml:space="preserve">Order</w:t>
            </w:r>
          </w:p>
          <w:p>
            <w:pPr>
              <w:spacing w:line="300"/>
              <w:jc w:val="both"/>
            </w:pPr>
            <w:r>
              <w:rPr>
                <w:rFonts w:ascii="Times New Roman" w:cs="Times New Roman" w:eastAsia="Times New Roman" w:hAnsi="Times New Roman"/>
                <w:sz w:val="22"/>
                <w:szCs w:val="22"/>
              </w:rPr>
              <w:t xml:space="preserve">Piperacillin-Tazobactam 4.5 g IV every 6 hours — Indication: community-acquired pneumonia.</w:t>
            </w:r>
          </w:p>
        </w:tc>
      </w:tr>
    </w:tbl>
    <w:p>
      <w:pPr>
        <w:pStyle w:val="Heading3"/>
        <w:spacing w:after="80" w:before="180"/>
      </w:pPr>
      <w:r>
        <w:rPr>
          <w:rFonts w:ascii="Times New Roman" w:cs="Times New Roman" w:eastAsia="Times New Roman" w:hAnsi="Times New Roman"/>
          <w:b/>
          <w:bCs/>
          <w:color w:val="0A7E8C"/>
          <w:sz w:val="24"/>
          <w:szCs w:val="24"/>
        </w:rPr>
        <w:t xml:space="preserve">CDS alerts that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w:t>
            </w:r>
          </w:p>
        </w:tc>
        <w:tc>
          <w:tcPr>
            <w:tcW w:type="dxa" w:w="24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Alert type</w:t>
            </w:r>
          </w:p>
        </w:tc>
        <w:tc>
          <w:tcPr>
            <w:tcW w:type="dxa" w:w="6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Detail</w:t>
            </w:r>
          </w:p>
        </w:tc>
      </w:tr>
      <w:tr>
        <w:tc>
          <w:tcPr>
            <w:tcW w:type="dxa" w:w="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1</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Drug–allergy</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Beta-lactam class cross-reactivity with documented penicillin anaphylaxis. SEVERITY: HARD STOP.</w:t>
            </w:r>
          </w:p>
        </w:tc>
      </w:tr>
      <w:tr>
        <w:tc>
          <w:tcPr>
            <w:tcW w:type="dxa" w:w="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2</w:t>
            </w:r>
          </w:p>
        </w:tc>
        <w:tc>
          <w:tcPr>
            <w:tcW w:type="dxa" w:w="24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Renal dose adjustment</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Standard adult dose is 4.5 g q6h; recommended adjustment for eGFR 20–40 is 3.375 g q6h. SEVERITY: WARN.</w:t>
            </w:r>
          </w:p>
        </w:tc>
      </w:tr>
      <w:tr>
        <w:tc>
          <w:tcPr>
            <w:tcW w:type="dxa" w:w="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3</w:t>
            </w:r>
          </w:p>
        </w:tc>
        <w:tc>
          <w:tcPr>
            <w:tcW w:type="dxa" w:w="24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Drug–drug interaction</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Concurrent metformin — risk of lactic acidosis if renal function deteriorates further with sepsis. SEVERITY: INFO.</w:t>
            </w:r>
          </w:p>
        </w:tc>
      </w:tr>
    </w:tbl>
    <w:p>
      <w:pPr>
        <w:pStyle w:val="Heading3"/>
        <w:spacing w:after="80" w:before="180"/>
      </w:pPr>
      <w:r>
        <w:rPr>
          <w:rFonts w:ascii="Times New Roman" w:cs="Times New Roman" w:eastAsia="Times New Roman" w:hAnsi="Times New Roman"/>
          <w:b/>
          <w:bCs/>
          <w:color w:val="0A7E8C"/>
          <w:sz w:val="24"/>
          <w:szCs w:val="24"/>
        </w:rPr>
        <w:t xml:space="preserve">Discussion questions</w:t>
      </w:r>
    </w:p>
    <w:p>
      <w:pPr>
        <w:pStyle w:val="ListParagraph"/>
        <w:numPr>
          <w:ilvl w:val="0"/>
          <w:numId w:val="3"/>
        </w:numPr>
        <w:spacing w:after="40" w:before="40" w:line="300"/>
      </w:pPr>
      <w:r>
        <w:rPr>
          <w:rFonts w:ascii="Times New Roman" w:cs="Times New Roman" w:eastAsia="Times New Roman" w:hAnsi="Times New Roman"/>
          <w:sz w:val="22"/>
          <w:szCs w:val="22"/>
        </w:rPr>
        <w:t xml:space="preserve">What is the safest immediate action?</w:t>
      </w:r>
    </w:p>
    <w:p>
      <w:pPr>
        <w:pStyle w:val="ListParagraph"/>
        <w:numPr>
          <w:ilvl w:val="0"/>
          <w:numId w:val="3"/>
        </w:numPr>
        <w:spacing w:after="40" w:before="40" w:line="300"/>
      </w:pPr>
      <w:r>
        <w:rPr>
          <w:rFonts w:ascii="Times New Roman" w:cs="Times New Roman" w:eastAsia="Times New Roman" w:hAnsi="Times New Roman"/>
          <w:sz w:val="22"/>
          <w:szCs w:val="22"/>
        </w:rPr>
        <w:t xml:space="preserve">Which antimicrobial class would you propose as a substitute, and why?</w:t>
      </w:r>
    </w:p>
    <w:p>
      <w:pPr>
        <w:pStyle w:val="ListParagraph"/>
        <w:numPr>
          <w:ilvl w:val="0"/>
          <w:numId w:val="3"/>
        </w:numPr>
        <w:spacing w:after="40" w:before="40" w:line="300"/>
      </w:pPr>
      <w:r>
        <w:rPr>
          <w:rFonts w:ascii="Times New Roman" w:cs="Times New Roman" w:eastAsia="Times New Roman" w:hAnsi="Times New Roman"/>
          <w:sz w:val="22"/>
          <w:szCs w:val="22"/>
        </w:rPr>
        <w:t xml:space="preserve">Which CDS check would have been missed if the prescriber had typed a free-text Sig?</w:t>
      </w:r>
    </w:p>
    <w:p>
      <w:pPr>
        <w:pStyle w:val="ListParagraph"/>
        <w:numPr>
          <w:ilvl w:val="0"/>
          <w:numId w:val="3"/>
        </w:numPr>
        <w:spacing w:after="40" w:before="40" w:line="300"/>
      </w:pPr>
      <w:r>
        <w:rPr>
          <w:rFonts w:ascii="Times New Roman" w:cs="Times New Roman" w:eastAsia="Times New Roman" w:hAnsi="Times New Roman"/>
          <w:sz w:val="22"/>
          <w:szCs w:val="22"/>
        </w:rPr>
        <w:t xml:space="preserve">Document one structured override reason that you would consider acceptable and one that would not.</w:t>
      </w:r>
    </w:p>
    <w:p>
      <w:pPr>
        <w:pStyle w:val="Heading3"/>
        <w:spacing w:after="80" w:before="180"/>
      </w:pPr>
      <w:r>
        <w:rPr>
          <w:rFonts w:ascii="Times New Roman" w:cs="Times New Roman" w:eastAsia="Times New Roman" w:hAnsi="Times New Roman"/>
          <w:b/>
          <w:bCs/>
          <w:color w:val="0A7E8C"/>
          <w:sz w:val="24"/>
          <w:szCs w:val="24"/>
        </w:rPr>
        <w:t xml:space="preserve">Model answers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Q1 — </w:t>
      </w:r>
      <w:r>
        <w:rPr>
          <w:rFonts w:ascii="Times New Roman" w:cs="Times New Roman" w:eastAsia="Times New Roman" w:hAnsi="Times New Roman"/>
          <w:b w:val="false"/>
          <w:bCs w:val="false"/>
          <w:i w:val="false"/>
          <w:iCs w:val="false"/>
          <w:sz w:val="22"/>
          <w:szCs w:val="22"/>
        </w:rPr>
        <w:t xml:space="preserve">Treat the hard-stop allergy alert as non-overridable. The order must be cancelled before signing. The prescriber should re-verify the allergy history with the patient or family (anaphylaxis vs. rash) and re-prescribe accordingly.</w:t>
      </w:r>
    </w:p>
    <w:p>
      <w:pPr>
        <w:spacing w:after="60" w:before="60" w:line="300"/>
        <w:jc w:val="both"/>
      </w:pPr>
      <w:r>
        <w:rPr>
          <w:rFonts w:ascii="Times New Roman" w:cs="Times New Roman" w:eastAsia="Times New Roman" w:hAnsi="Times New Roman"/>
          <w:b/>
          <w:bCs/>
          <w:i w:val="false"/>
          <w:iCs w:val="false"/>
          <w:color w:val="0D2D6B"/>
          <w:sz w:val="22"/>
          <w:szCs w:val="22"/>
        </w:rPr>
        <w:t xml:space="preserve">Q2 — </w:t>
      </w:r>
      <w:r>
        <w:rPr>
          <w:rFonts w:ascii="Times New Roman" w:cs="Times New Roman" w:eastAsia="Times New Roman" w:hAnsi="Times New Roman"/>
          <w:b w:val="false"/>
          <w:bCs w:val="false"/>
          <w:i w:val="false"/>
          <w:iCs w:val="false"/>
          <w:sz w:val="22"/>
          <w:szCs w:val="22"/>
        </w:rPr>
        <w:t xml:space="preserve">A respiratory fluoroquinolone (e.g., levofloxacin) or a combination of a macrolide with a third-generation non-cross-reactive agent could be considered, both adjusted for eGFR 38. Local antibiogram and stewardship rules should guide final choice.</w:t>
      </w:r>
    </w:p>
    <w:p>
      <w:pPr>
        <w:spacing w:after="60" w:before="60" w:line="300"/>
        <w:jc w:val="both"/>
      </w:pPr>
      <w:r>
        <w:rPr>
          <w:rFonts w:ascii="Times New Roman" w:cs="Times New Roman" w:eastAsia="Times New Roman" w:hAnsi="Times New Roman"/>
          <w:b/>
          <w:bCs/>
          <w:i w:val="false"/>
          <w:iCs w:val="false"/>
          <w:color w:val="0D2D6B"/>
          <w:sz w:val="22"/>
          <w:szCs w:val="22"/>
        </w:rPr>
        <w:t xml:space="preserve">Q3 — </w:t>
      </w:r>
      <w:r>
        <w:rPr>
          <w:rFonts w:ascii="Times New Roman" w:cs="Times New Roman" w:eastAsia="Times New Roman" w:hAnsi="Times New Roman"/>
          <w:b w:val="false"/>
          <w:bCs w:val="false"/>
          <w:i w:val="false"/>
          <w:iCs w:val="false"/>
          <w:sz w:val="22"/>
          <w:szCs w:val="22"/>
        </w:rPr>
        <w:t xml:space="preserve">The renal dose-adjustment check, because it requires the CDS engine to compute the total daily dose from a structured frequency field. A free-text "as directed" Sig defeats this.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Q4 — </w:t>
      </w:r>
      <w:r>
        <w:rPr>
          <w:rFonts w:ascii="Times New Roman" w:cs="Times New Roman" w:eastAsia="Times New Roman" w:hAnsi="Times New Roman"/>
          <w:b w:val="false"/>
          <w:bCs w:val="false"/>
          <w:i w:val="false"/>
          <w:iCs w:val="false"/>
          <w:sz w:val="22"/>
          <w:szCs w:val="22"/>
        </w:rPr>
        <w:t xml:space="preserve">Acceptable: "Allergy re-verified with patient — prior reaction was isolated maculopapular rash, not anaphylaxis; ID consulted." Unacceptable: "Override — patient needs antibiotic." The second is a reflex override with no clinical reasoning, the hallmark of alert fatigue.</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9. Case 2 — Community Pharmacy (Outpatient e-Rx)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4"/>
              <w:left w:val="single" w:color="0D2D6B" w:sz="24"/>
              <w:bottom w:val="single" w:color="0D2D6B" w:sz="4"/>
              <w:right w:val="single" w:color="0D2D6B"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0D2D6B"/>
                <w:sz w:val="22"/>
                <w:szCs w:val="22"/>
              </w:rPr>
              <w:t xml:space="preserve">Patient</w:t>
            </w:r>
          </w:p>
          <w:p>
            <w:pPr>
              <w:spacing w:line="300"/>
              <w:jc w:val="both"/>
            </w:pPr>
            <w:r>
              <w:rPr>
                <w:rFonts w:ascii="Times New Roman" w:cs="Times New Roman" w:eastAsia="Times New Roman" w:hAnsi="Times New Roman"/>
                <w:sz w:val="22"/>
                <w:szCs w:val="22"/>
              </w:rPr>
              <w:t xml:space="preserve">Mrs. Layla H., 54 years old, presents to your community pharmacy after a clinic visit. She is a known type-2 diabetic on metformin and gliclazide. She has just been started on a new medication for a urinary tract infection. The e-prescription arrives in your Pharmacy Information System via NCPDP SCRIPT.</w:t>
            </w:r>
          </w:p>
        </w:tc>
      </w:tr>
    </w:tbl>
    <w:p>
      <w:pPr>
        <w:pStyle w:val="Heading3"/>
        <w:spacing w:after="80" w:before="180"/>
      </w:pPr>
      <w:r>
        <w:rPr>
          <w:rFonts w:ascii="Times New Roman" w:cs="Times New Roman" w:eastAsia="Times New Roman" w:hAnsi="Times New Roman"/>
          <w:b/>
          <w:bCs/>
          <w:color w:val="0A7E8C"/>
          <w:sz w:val="24"/>
          <w:szCs w:val="24"/>
        </w:rPr>
        <w:t xml:space="preserve">Incoming e-Rx (NCPDP SCRIPT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6"/>
              <w:left w:val="single" w:color="0D2D6B" w:sz="6"/>
              <w:bottom w:val="single" w:color="0D2D6B" w:sz="6"/>
              <w:right w:val="single" w:color="0D2D6B" w:sz="6"/>
            </w:tcBorders>
            <w:shd w:fill="F7F9FF" w:val="clear"/>
            <w:tcMar>
              <w:top w:type="dxa" w:w="160"/>
              <w:left w:type="dxa" w:w="200"/>
              <w:bottom w:type="dxa" w:w="160"/>
              <w:right w:type="dxa" w:w="200"/>
            </w:tcMar>
          </w:tcPr>
          <w:p>
            <w:pPr>
              <w:spacing w:line="240"/>
            </w:pPr>
            <w:r>
              <w:rPr>
                <w:rFonts w:ascii="Consolas" w:cs="Consolas" w:eastAsia="Consolas" w:hAnsi="Consolas"/>
                <w:sz w:val="20"/>
                <w:szCs w:val="20"/>
              </w:rPr>
              <w:t xml:space="preserve">  ┌───────────────────────────  NewRx (SCRIPT 2017071)  ───────────────────────────┐</w:t>
            </w:r>
          </w:p>
          <w:p>
            <w:pPr>
              <w:spacing w:line="240"/>
            </w:pPr>
            <w:r>
              <w:rPr>
                <w:rFonts w:ascii="Consolas" w:cs="Consolas" w:eastAsia="Consolas" w:hAnsi="Consolas"/>
                <w:sz w:val="20"/>
                <w:szCs w:val="20"/>
              </w:rPr>
              <w:t xml:space="preserve">  │ Patient        : Layla H.   DOB 12-Mar-1971   Patient ID 9876543210            │</w:t>
            </w:r>
          </w:p>
          <w:p>
            <w:pPr>
              <w:spacing w:line="240"/>
            </w:pPr>
            <w:r>
              <w:rPr>
                <w:rFonts w:ascii="Consolas" w:cs="Consolas" w:eastAsia="Consolas" w:hAnsi="Consolas"/>
                <w:sz w:val="20"/>
                <w:szCs w:val="20"/>
              </w:rPr>
              <w:t xml:space="preserve">  │ Prescriber     : Dr. R. Khoury   Prescriber ID 778-90123                       │</w:t>
            </w:r>
          </w:p>
          <w:p>
            <w:pPr>
              <w:spacing w:line="240"/>
            </w:pPr>
            <w:r>
              <w:rPr>
                <w:rFonts w:ascii="Consolas" w:cs="Consolas" w:eastAsia="Consolas" w:hAnsi="Consolas"/>
                <w:sz w:val="20"/>
                <w:szCs w:val="20"/>
              </w:rPr>
              <w:t xml:space="preserve">  │ Drug           : Ciprofloxacin 500 mg tablet  (RxCUI 197517)                   │</w:t>
            </w:r>
          </w:p>
          <w:p>
            <w:pPr>
              <w:spacing w:line="240"/>
            </w:pPr>
            <w:r>
              <w:rPr>
                <w:rFonts w:ascii="Consolas" w:cs="Consolas" w:eastAsia="Consolas" w:hAnsi="Consolas"/>
                <w:sz w:val="20"/>
                <w:szCs w:val="20"/>
              </w:rPr>
              <w:t xml:space="preserve">  │ Sig (struct.)  : 1 tab PO BID × 7 days                                         │</w:t>
            </w:r>
          </w:p>
          <w:p>
            <w:pPr>
              <w:spacing w:line="240"/>
            </w:pPr>
            <w:r>
              <w:rPr>
                <w:rFonts w:ascii="Consolas" w:cs="Consolas" w:eastAsia="Consolas" w:hAnsi="Consolas"/>
                <w:sz w:val="20"/>
                <w:szCs w:val="20"/>
              </w:rPr>
              <w:t xml:space="preserve">  │ Quantity       : 14 tab        Refills : 0       Substitution : Permitted      │</w:t>
            </w:r>
          </w:p>
          <w:p>
            <w:pPr>
              <w:spacing w:line="240"/>
            </w:pPr>
            <w:r>
              <w:rPr>
                <w:rFonts w:ascii="Consolas" w:cs="Consolas" w:eastAsia="Consolas" w:hAnsi="Consolas"/>
                <w:sz w:val="20"/>
                <w:szCs w:val="20"/>
              </w:rPr>
              <w:t xml:space="preserve">  │ Indication     : Acute uncomplicated cystitis  (ICD-10 N30.00)                 │</w:t>
            </w:r>
          </w:p>
          <w:p>
            <w:pPr>
              <w:spacing w:line="240"/>
            </w:pPr>
            <w:r>
              <w:rPr>
                <w:rFonts w:ascii="Consolas" w:cs="Consolas" w:eastAsia="Consolas" w:hAnsi="Consolas"/>
                <w:sz w:val="20"/>
                <w:szCs w:val="20"/>
              </w:rPr>
              <w:t xml:space="preserve">  │ Allergies      : None on file                                                  │</w:t>
            </w:r>
          </w:p>
          <w:p>
            <w:pPr>
              <w:spacing w:line="240"/>
            </w:pPr>
            <w:r>
              <w:rPr>
                <w:rFonts w:ascii="Consolas" w:cs="Consolas" w:eastAsia="Consolas" w:hAnsi="Consolas"/>
                <w:sz w:val="20"/>
                <w:szCs w:val="20"/>
              </w:rPr>
              <w:t xml:space="preserve">  │ Comorbidities  : Type-2 diabetes mellitus                                      │</w:t>
            </w:r>
          </w:p>
          <w:p>
            <w:pPr>
              <w:spacing w:line="240"/>
            </w:pPr>
            <w:r>
              <w:rPr>
                <w:rFonts w:ascii="Consolas" w:cs="Consolas" w:eastAsia="Consolas" w:hAnsi="Consolas"/>
                <w:sz w:val="20"/>
                <w:szCs w:val="20"/>
              </w:rPr>
              <w:t xml:space="preserve">  │ Current meds   : Metformin 1000 mg BID, Gliclazide MR 60 mg OD                 │</w:t>
            </w:r>
          </w:p>
          <w:p>
            <w:pPr>
              <w:spacing w:line="240"/>
            </w:pPr>
            <w:r>
              <w:rPr>
                <w:rFonts w:ascii="Consolas" w:cs="Consolas" w:eastAsia="Consolas" w:hAnsi="Consolas"/>
                <w:sz w:val="20"/>
                <w:szCs w:val="20"/>
              </w:rPr>
              <w:t xml:space="preserve">  └────────────────────────────────────────────────────────────────────────────────┘</w:t>
            </w:r>
          </w:p>
        </w:tc>
      </w:tr>
    </w:tbl>
    <w:p>
      <w:pPr>
        <w:spacing w:after="180" w:before="60"/>
        <w:jc w:val="center"/>
      </w:pPr>
      <w:r>
        <w:rPr>
          <w:rFonts w:ascii="Times New Roman" w:cs="Times New Roman" w:eastAsia="Times New Roman" w:hAnsi="Times New Roman"/>
          <w:i/>
          <w:iCs/>
          <w:color w:val="5A6680"/>
          <w:sz w:val="20"/>
          <w:szCs w:val="20"/>
        </w:rPr>
        <w:t xml:space="preserve">Figure 9.1 — Structured NCPDP SCRIPT NewRx as received by the Pharmacy Information System.</w:t>
      </w:r>
    </w:p>
    <w:p>
      <w:pPr>
        <w:pStyle w:val="Heading3"/>
        <w:spacing w:after="80" w:before="180"/>
      </w:pPr>
      <w:r>
        <w:rPr>
          <w:rFonts w:ascii="Times New Roman" w:cs="Times New Roman" w:eastAsia="Times New Roman" w:hAnsi="Times New Roman"/>
          <w:b/>
          <w:bCs/>
          <w:color w:val="0A7E8C"/>
          <w:sz w:val="24"/>
          <w:szCs w:val="24"/>
        </w:rPr>
        <w:t xml:space="preserve">Pharmacist clinical screening</w:t>
      </w:r>
    </w:p>
    <w:p>
      <w:pPr>
        <w:pStyle w:val="ListParagraph"/>
        <w:numPr>
          <w:ilvl w:val="0"/>
          <w:numId w:val="2"/>
        </w:numPr>
        <w:spacing w:after="40" w:before="40" w:line="300"/>
      </w:pPr>
      <w:r>
        <w:rPr>
          <w:rFonts w:ascii="Times New Roman" w:cs="Times New Roman" w:eastAsia="Times New Roman" w:hAnsi="Times New Roman"/>
          <w:sz w:val="22"/>
          <w:szCs w:val="22"/>
        </w:rPr>
        <w:t xml:space="preserve">Indication and drug choice — ciprofloxacin is reasonable for uncomplicated cystitis where local resistance permits, although nitrofurantoin or fosfomycin are first-line in many guidelines.</w:t>
      </w:r>
    </w:p>
    <w:p>
      <w:pPr>
        <w:pStyle w:val="ListParagraph"/>
        <w:numPr>
          <w:ilvl w:val="0"/>
          <w:numId w:val="2"/>
        </w:numPr>
        <w:spacing w:after="40" w:before="40" w:line="300"/>
      </w:pPr>
      <w:r>
        <w:rPr>
          <w:rFonts w:ascii="Times New Roman" w:cs="Times New Roman" w:eastAsia="Times New Roman" w:hAnsi="Times New Roman"/>
          <w:sz w:val="22"/>
          <w:szCs w:val="22"/>
        </w:rPr>
        <w:t xml:space="preserve">DDI — ciprofloxacin may potentiate the hypoglycaemic effect of gliclazide (fluoroquinolone–sulfonylurea interaction). Counsel on hypoglycaemia recognition and self-monitoring.</w:t>
      </w:r>
    </w:p>
    <w:p>
      <w:pPr>
        <w:pStyle w:val="ListParagraph"/>
        <w:numPr>
          <w:ilvl w:val="0"/>
          <w:numId w:val="2"/>
        </w:numPr>
        <w:spacing w:after="40" w:before="40" w:line="300"/>
      </w:pPr>
      <w:r>
        <w:rPr>
          <w:rFonts w:ascii="Times New Roman" w:cs="Times New Roman" w:eastAsia="Times New Roman" w:hAnsi="Times New Roman"/>
          <w:sz w:val="22"/>
          <w:szCs w:val="22"/>
        </w:rPr>
        <w:t xml:space="preserve">DDI — gliclazide unchanged; metformin–ciprofloxacin pharmacokinetic interaction is minor but tendon-rupture risk on fluoroquinolones rises with age and concomitant steroids — screen.</w:t>
      </w:r>
    </w:p>
    <w:p>
      <w:pPr>
        <w:pStyle w:val="ListParagraph"/>
        <w:numPr>
          <w:ilvl w:val="0"/>
          <w:numId w:val="2"/>
        </w:numPr>
        <w:spacing w:after="40" w:before="40" w:line="300"/>
      </w:pPr>
      <w:r>
        <w:rPr>
          <w:rFonts w:ascii="Times New Roman" w:cs="Times New Roman" w:eastAsia="Times New Roman" w:hAnsi="Times New Roman"/>
          <w:sz w:val="22"/>
          <w:szCs w:val="22"/>
        </w:rPr>
        <w:t xml:space="preserve">Counselling points — separate from divalent cations (antacids, iron, calcium, dairy) by at least two hours to preserve absorption; complete the full course; photosensitivity precautions.</w:t>
      </w:r>
    </w:p>
    <w:p>
      <w:pPr>
        <w:pStyle w:val="ListParagraph"/>
        <w:numPr>
          <w:ilvl w:val="0"/>
          <w:numId w:val="2"/>
        </w:numPr>
        <w:spacing w:after="40" w:before="40" w:line="300"/>
      </w:pPr>
      <w:r>
        <w:rPr>
          <w:rFonts w:ascii="Times New Roman" w:cs="Times New Roman" w:eastAsia="Times New Roman" w:hAnsi="Times New Roman"/>
          <w:sz w:val="22"/>
          <w:szCs w:val="22"/>
        </w:rPr>
        <w:t xml:space="preserve">Document the intervention in the patient's pharmacy record and, if the substitution is meaningful, send an RxChange request back to the prescriber via SCRIPT.</w:t>
      </w:r>
    </w:p>
    <w:p>
      <w:pPr>
        <w:pStyle w:val="Heading3"/>
        <w:spacing w:after="80" w:before="180"/>
      </w:pPr>
      <w:r>
        <w:rPr>
          <w:rFonts w:ascii="Times New Roman" w:cs="Times New Roman" w:eastAsia="Times New Roman" w:hAnsi="Times New Roman"/>
          <w:b/>
          <w:bCs/>
          <w:color w:val="0A7E8C"/>
          <w:sz w:val="24"/>
          <w:szCs w:val="24"/>
        </w:rPr>
        <w:t xml:space="preserve">Discussion questions</w:t>
      </w:r>
    </w:p>
    <w:p>
      <w:pPr>
        <w:pStyle w:val="ListParagraph"/>
        <w:numPr>
          <w:ilvl w:val="0"/>
          <w:numId w:val="3"/>
        </w:numPr>
        <w:spacing w:after="40" w:before="40" w:line="300"/>
      </w:pPr>
      <w:r>
        <w:rPr>
          <w:rFonts w:ascii="Times New Roman" w:cs="Times New Roman" w:eastAsia="Times New Roman" w:hAnsi="Times New Roman"/>
          <w:sz w:val="22"/>
          <w:szCs w:val="22"/>
        </w:rPr>
        <w:t xml:space="preserve">Which SCRIPT message would you send back if you wanted to suggest nitrofurantoin instead of ciprofloxacin?</w:t>
      </w:r>
    </w:p>
    <w:p>
      <w:pPr>
        <w:pStyle w:val="ListParagraph"/>
        <w:numPr>
          <w:ilvl w:val="0"/>
          <w:numId w:val="3"/>
        </w:numPr>
        <w:spacing w:after="40" w:before="40" w:line="300"/>
      </w:pPr>
      <w:r>
        <w:rPr>
          <w:rFonts w:ascii="Times New Roman" w:cs="Times New Roman" w:eastAsia="Times New Roman" w:hAnsi="Times New Roman"/>
          <w:sz w:val="22"/>
          <w:szCs w:val="22"/>
        </w:rPr>
        <w:t xml:space="preserve">List two CDS alerts that should have fired in the prescriber's EHR before the e-Rx was transmitted.</w:t>
      </w:r>
    </w:p>
    <w:p>
      <w:pPr>
        <w:pStyle w:val="ListParagraph"/>
        <w:numPr>
          <w:ilvl w:val="0"/>
          <w:numId w:val="3"/>
        </w:numPr>
        <w:spacing w:after="40" w:before="40" w:line="300"/>
      </w:pPr>
      <w:r>
        <w:rPr>
          <w:rFonts w:ascii="Times New Roman" w:cs="Times New Roman" w:eastAsia="Times New Roman" w:hAnsi="Times New Roman"/>
          <w:sz w:val="22"/>
          <w:szCs w:val="22"/>
        </w:rPr>
        <w:t xml:space="preserve">What patient-facing counselling points are unique to fluoroquinolones?</w:t>
      </w:r>
    </w:p>
    <w:p>
      <w:pPr>
        <w:pStyle w:val="Heading3"/>
        <w:spacing w:after="80" w:before="180"/>
      </w:pPr>
      <w:r>
        <w:rPr>
          <w:rFonts w:ascii="Times New Roman" w:cs="Times New Roman" w:eastAsia="Times New Roman" w:hAnsi="Times New Roman"/>
          <w:b/>
          <w:bCs/>
          <w:color w:val="0A7E8C"/>
          <w:sz w:val="24"/>
          <w:szCs w:val="24"/>
        </w:rPr>
        <w:t xml:space="preserve">Model answers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Q1 — </w:t>
      </w:r>
      <w:r>
        <w:rPr>
          <w:rFonts w:ascii="Times New Roman" w:cs="Times New Roman" w:eastAsia="Times New Roman" w:hAnsi="Times New Roman"/>
          <w:b w:val="false"/>
          <w:bCs w:val="false"/>
          <w:i w:val="false"/>
          <w:iCs w:val="false"/>
          <w:sz w:val="22"/>
          <w:szCs w:val="22"/>
        </w:rPr>
        <w:t xml:space="preserve">An RxChange request with reason code "therapeutic interchange" proposing nitrofurantoin 100 mg PO BID × 5 days. The prescriber's EHR receives the request and either approves (RxChange Response) or declines.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Q2 — </w:t>
      </w:r>
      <w:r>
        <w:rPr>
          <w:rFonts w:ascii="Times New Roman" w:cs="Times New Roman" w:eastAsia="Times New Roman" w:hAnsi="Times New Roman"/>
          <w:b w:val="false"/>
          <w:bCs w:val="false"/>
          <w:i w:val="false"/>
          <w:iCs w:val="false"/>
          <w:sz w:val="22"/>
          <w:szCs w:val="22"/>
        </w:rPr>
        <w:t xml:space="preserve">(a) Drug–drug interaction: fluoroquinolone + sulfonylurea (hypoglycaemia). (b) Drug–disease or age-based caution: tendon-rupture risk with fluoroquinolones in older adults.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Q3 — </w:t>
      </w:r>
      <w:r>
        <w:rPr>
          <w:rFonts w:ascii="Times New Roman" w:cs="Times New Roman" w:eastAsia="Times New Roman" w:hAnsi="Times New Roman"/>
          <w:b w:val="false"/>
          <w:bCs w:val="false"/>
          <w:i w:val="false"/>
          <w:iCs w:val="false"/>
          <w:sz w:val="22"/>
          <w:szCs w:val="22"/>
        </w:rPr>
        <w:t xml:space="preserve">Separation from divalent cations (≥ 2 h), tendinopathy and Achilles tendon-rupture warning signs, QT-prolongation caution, photosensitivity, CNS effects, and the hypoglycaemia interaction with the patient's gliclazide.</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10. Case 3 — Controlled Substance e-Prescribing (EPCS)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4"/>
              <w:left w:val="single" w:color="0D2D6B" w:sz="24"/>
              <w:bottom w:val="single" w:color="0D2D6B" w:sz="4"/>
              <w:right w:val="single" w:color="0D2D6B"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0D2D6B"/>
                <w:sz w:val="22"/>
                <w:szCs w:val="22"/>
              </w:rPr>
              <w:t xml:space="preserve">Patient</w:t>
            </w:r>
          </w:p>
          <w:p>
            <w:pPr>
              <w:spacing w:line="300"/>
              <w:jc w:val="both"/>
            </w:pPr>
            <w:r>
              <w:rPr>
                <w:rFonts w:ascii="Times New Roman" w:cs="Times New Roman" w:eastAsia="Times New Roman" w:hAnsi="Times New Roman"/>
                <w:sz w:val="22"/>
                <w:szCs w:val="22"/>
              </w:rPr>
              <w:t xml:space="preserve">Mr. K., 45 years old, post-discharge from orthopaedic surgery. The discharging clinician wishes to e-prescribe oxycodone 5 mg PO every 6 hours as needed for pain, dispense 20 tablets, no refills.</w:t>
            </w:r>
          </w:p>
        </w:tc>
      </w:tr>
    </w:tbl>
    <w:p>
      <w:pPr>
        <w:pStyle w:val="Heading2"/>
        <w:spacing w:after="120" w:before="240"/>
      </w:pPr>
      <w:r>
        <w:rPr>
          <w:rFonts w:ascii="Times New Roman" w:cs="Times New Roman" w:eastAsia="Times New Roman" w:hAnsi="Times New Roman"/>
          <w:b/>
          <w:bCs/>
          <w:color w:val="0D2D6B"/>
          <w:sz w:val="28"/>
          <w:szCs w:val="28"/>
        </w:rPr>
        <w:t xml:space="preserve">10.1 EPCS technical requirements</w:t>
      </w:r>
    </w:p>
    <w:p>
      <w:pPr>
        <w:pStyle w:val="ListParagraph"/>
        <w:numPr>
          <w:ilvl w:val="0"/>
          <w:numId w:val="2"/>
        </w:numPr>
        <w:spacing w:after="40" w:before="40" w:line="300"/>
      </w:pPr>
      <w:r>
        <w:rPr>
          <w:rFonts w:ascii="Times New Roman" w:cs="Times New Roman" w:eastAsia="Times New Roman" w:hAnsi="Times New Roman"/>
          <w:sz w:val="22"/>
          <w:szCs w:val="22"/>
        </w:rPr>
        <w:t xml:space="preserve">Identity-proofing of the prescriber to a defined assurance level (e.g., NIST IAL2 in the US) before the EHR can issue credentials.</w:t>
      </w:r>
    </w:p>
    <w:p>
      <w:pPr>
        <w:pStyle w:val="ListParagraph"/>
        <w:numPr>
          <w:ilvl w:val="0"/>
          <w:numId w:val="2"/>
        </w:numPr>
        <w:spacing w:after="40" w:before="40" w:line="300"/>
      </w:pPr>
      <w:r>
        <w:rPr>
          <w:rFonts w:ascii="Times New Roman" w:cs="Times New Roman" w:eastAsia="Times New Roman" w:hAnsi="Times New Roman"/>
          <w:sz w:val="22"/>
          <w:szCs w:val="22"/>
        </w:rPr>
        <w:t xml:space="preserve">Two-factor authentication at the moment of signing — one factor is something the prescriber knows (password / PIN) and the other is something they have (hard token, soft token, biometric).</w:t>
      </w:r>
    </w:p>
    <w:p>
      <w:pPr>
        <w:pStyle w:val="ListParagraph"/>
        <w:numPr>
          <w:ilvl w:val="0"/>
          <w:numId w:val="2"/>
        </w:numPr>
        <w:spacing w:after="40" w:before="40" w:line="300"/>
      </w:pPr>
      <w:r>
        <w:rPr>
          <w:rFonts w:ascii="Times New Roman" w:cs="Times New Roman" w:eastAsia="Times New Roman" w:hAnsi="Times New Roman"/>
          <w:sz w:val="22"/>
          <w:szCs w:val="22"/>
        </w:rPr>
        <w:t xml:space="preserve">Cryptographic digital signature applied to the prescription record, with an immutable audit log.</w:t>
      </w:r>
    </w:p>
    <w:p>
      <w:pPr>
        <w:pStyle w:val="ListParagraph"/>
        <w:numPr>
          <w:ilvl w:val="0"/>
          <w:numId w:val="2"/>
        </w:numPr>
        <w:spacing w:after="40" w:before="40" w:line="300"/>
      </w:pPr>
      <w:r>
        <w:rPr>
          <w:rFonts w:ascii="Times New Roman" w:cs="Times New Roman" w:eastAsia="Times New Roman" w:hAnsi="Times New Roman"/>
          <w:sz w:val="22"/>
          <w:szCs w:val="22"/>
        </w:rPr>
        <w:t xml:space="preserve">The transmitting and receiving systems must be EPCS-certified by an accredited third-party auditor.</w:t>
      </w:r>
    </w:p>
    <w:p>
      <w:pPr>
        <w:pStyle w:val="ListParagraph"/>
        <w:numPr>
          <w:ilvl w:val="0"/>
          <w:numId w:val="2"/>
        </w:numPr>
        <w:spacing w:after="40" w:before="40" w:line="300"/>
      </w:pPr>
      <w:r>
        <w:rPr>
          <w:rFonts w:ascii="Times New Roman" w:cs="Times New Roman" w:eastAsia="Times New Roman" w:hAnsi="Times New Roman"/>
          <w:sz w:val="22"/>
          <w:szCs w:val="22"/>
        </w:rPr>
        <w:t xml:space="preserve">Logical access controls — a separate authorization role for prescribing controlled substances, granted only after identity proofing.</w:t>
      </w:r>
    </w:p>
    <w:p>
      <w:pPr>
        <w:pStyle w:val="ListParagraph"/>
        <w:numPr>
          <w:ilvl w:val="0"/>
          <w:numId w:val="2"/>
        </w:numPr>
        <w:spacing w:after="40" w:before="40" w:line="300"/>
      </w:pPr>
      <w:r>
        <w:rPr>
          <w:rFonts w:ascii="Times New Roman" w:cs="Times New Roman" w:eastAsia="Times New Roman" w:hAnsi="Times New Roman"/>
          <w:sz w:val="22"/>
          <w:szCs w:val="22"/>
        </w:rPr>
        <w:t xml:space="preserve">Audit logs retained for the period mandated by the relevant regulator (e.g., two years for DEA in the US).</w:t>
      </w:r>
    </w:p>
    <w:p>
      <w:pPr>
        <w:pStyle w:val="Heading2"/>
        <w:spacing w:after="120" w:before="240"/>
      </w:pPr>
      <w:r>
        <w:rPr>
          <w:rFonts w:ascii="Times New Roman" w:cs="Times New Roman" w:eastAsia="Times New Roman" w:hAnsi="Times New Roman"/>
          <w:b/>
          <w:bCs/>
          <w:color w:val="0D2D6B"/>
          <w:sz w:val="28"/>
          <w:szCs w:val="28"/>
        </w:rPr>
        <w:t xml:space="preserve">10.2 Workflow differences vs. a non-controlled e-Rx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D6B" w:sz="6"/>
              <w:left w:val="single" w:color="0D2D6B" w:sz="6"/>
              <w:bottom w:val="single" w:color="0D2D6B" w:sz="6"/>
              <w:right w:val="single" w:color="0D2D6B" w:sz="6"/>
            </w:tcBorders>
            <w:shd w:fill="F7F9FF" w:val="clear"/>
            <w:tcMar>
              <w:top w:type="dxa" w:w="160"/>
              <w:left w:type="dxa" w:w="200"/>
              <w:bottom w:type="dxa" w:w="160"/>
              <w:right w:type="dxa" w:w="200"/>
            </w:tcMar>
          </w:tcPr>
          <w:p>
            <w:pPr>
              <w:spacing w:line="240"/>
            </w:pPr>
            <w:r>
              <w:rPr>
                <w:rFonts w:ascii="Consolas" w:cs="Consolas" w:eastAsia="Consolas" w:hAnsi="Consolas"/>
                <w:sz w:val="20"/>
                <w:szCs w:val="20"/>
              </w:rPr>
              <w:t xml:space="preserve">                Non-controlled e-Rx                EPCS</w:t>
            </w:r>
          </w:p>
          <w:p>
            <w:pPr>
              <w:spacing w:line="240"/>
            </w:pPr>
            <w:r>
              <w:rPr>
                <w:rFonts w:ascii="Consolas" w:cs="Consolas" w:eastAsia="Consolas" w:hAnsi="Consolas"/>
                <w:sz w:val="20"/>
                <w:szCs w:val="20"/>
              </w:rPr>
              <w:t xml:space="preserve">                -------------------                -----</w:t>
            </w:r>
          </w:p>
          <w:p>
            <w:pPr>
              <w:spacing w:line="240"/>
            </w:pPr>
            <w:r>
              <w:rPr>
                <w:rFonts w:ascii="Consolas" w:cs="Consolas" w:eastAsia="Consolas" w:hAnsi="Consolas"/>
                <w:sz w:val="20"/>
                <w:szCs w:val="20"/>
              </w:rPr>
              <w:t xml:space="preserve">   1. Order:    enter &amp; sign with password         enter &amp; sign with password + 2FA token</w:t>
            </w:r>
          </w:p>
          <w:p>
            <w:pPr>
              <w:spacing w:line="240"/>
            </w:pPr>
            <w:r>
              <w:rPr>
                <w:rFonts w:ascii="Consolas" w:cs="Consolas" w:eastAsia="Consolas" w:hAnsi="Consolas"/>
                <w:sz w:val="20"/>
                <w:szCs w:val="20"/>
              </w:rPr>
              <w:t xml:space="preserve">   2. Transmit: SCRIPT NewRx                       SCRIPT NewRx with EPCS indicator + signature</w:t>
            </w:r>
          </w:p>
          <w:p>
            <w:pPr>
              <w:spacing w:line="240"/>
            </w:pPr>
            <w:r>
              <w:rPr>
                <w:rFonts w:ascii="Consolas" w:cs="Consolas" w:eastAsia="Consolas" w:hAnsi="Consolas"/>
                <w:sz w:val="20"/>
                <w:szCs w:val="20"/>
              </w:rPr>
              <w:t xml:space="preserve">   3. Pharmacy: receive, screen, dispense          receive, verify two-factor signature,</w:t>
            </w:r>
          </w:p>
          <w:p>
            <w:pPr>
              <w:spacing w:line="240"/>
            </w:pPr>
            <w:r>
              <w:rPr>
                <w:rFonts w:ascii="Consolas" w:cs="Consolas" w:eastAsia="Consolas" w:hAnsi="Consolas"/>
                <w:sz w:val="20"/>
                <w:szCs w:val="20"/>
              </w:rPr>
              <w:t xml:space="preserve">                                                   verify prescriber DEA / national registry,</w:t>
            </w:r>
          </w:p>
          <w:p>
            <w:pPr>
              <w:spacing w:line="240"/>
            </w:pPr>
            <w:r>
              <w:rPr>
                <w:rFonts w:ascii="Consolas" w:cs="Consolas" w:eastAsia="Consolas" w:hAnsi="Consolas"/>
                <w:sz w:val="20"/>
                <w:szCs w:val="20"/>
              </w:rPr>
              <w:t xml:space="preserve">                                                   dispense, retain audit log</w:t>
            </w:r>
          </w:p>
          <w:p>
            <w:pPr>
              <w:spacing w:line="240"/>
            </w:pPr>
            <w:r>
              <w:rPr>
                <w:rFonts w:ascii="Consolas" w:cs="Consolas" w:eastAsia="Consolas" w:hAnsi="Consolas"/>
                <w:sz w:val="20"/>
                <w:szCs w:val="20"/>
              </w:rPr>
              <w:t xml:space="preserve">   4. Audit:    standard PIS logs                  immutable EPCS audit trail (2-yr min in US)</w:t>
            </w:r>
          </w:p>
        </w:tc>
      </w:tr>
    </w:tbl>
    <w:p>
      <w:pPr>
        <w:spacing w:after="180" w:before="60"/>
        <w:jc w:val="center"/>
      </w:pPr>
      <w:r>
        <w:rPr>
          <w:rFonts w:ascii="Times New Roman" w:cs="Times New Roman" w:eastAsia="Times New Roman" w:hAnsi="Times New Roman"/>
          <w:i/>
          <w:iCs/>
          <w:color w:val="5A6680"/>
          <w:sz w:val="20"/>
          <w:szCs w:val="20"/>
        </w:rPr>
        <w:t xml:space="preserve">Figure 10.1 — Side-by-side comparison: standard e-Rx vs. EPCS.</w:t>
      </w:r>
    </w:p>
    <w:p>
      <w:pPr>
        <w:pStyle w:val="Heading2"/>
        <w:spacing w:after="120" w:before="240"/>
      </w:pPr>
      <w:r>
        <w:rPr>
          <w:rFonts w:ascii="Times New Roman" w:cs="Times New Roman" w:eastAsia="Times New Roman" w:hAnsi="Times New Roman"/>
          <w:b/>
          <w:bCs/>
          <w:color w:val="0D2D6B"/>
          <w:sz w:val="28"/>
          <w:szCs w:val="28"/>
        </w:rPr>
        <w:t xml:space="preserve">10.3 Discussion questions</w:t>
      </w:r>
    </w:p>
    <w:p>
      <w:pPr>
        <w:pStyle w:val="ListParagraph"/>
        <w:numPr>
          <w:ilvl w:val="0"/>
          <w:numId w:val="3"/>
        </w:numPr>
        <w:spacing w:after="40" w:before="40" w:line="300"/>
      </w:pPr>
      <w:r>
        <w:rPr>
          <w:rFonts w:ascii="Times New Roman" w:cs="Times New Roman" w:eastAsia="Times New Roman" w:hAnsi="Times New Roman"/>
          <w:sz w:val="22"/>
          <w:szCs w:val="22"/>
        </w:rPr>
        <w:t xml:space="preserve">If the prescriber's smartphone (soft-token device) is lost, can they still sign EPCS prescriptions that day?</w:t>
      </w:r>
    </w:p>
    <w:p>
      <w:pPr>
        <w:pStyle w:val="ListParagraph"/>
        <w:numPr>
          <w:ilvl w:val="0"/>
          <w:numId w:val="3"/>
        </w:numPr>
        <w:spacing w:after="40" w:before="40" w:line="300"/>
      </w:pPr>
      <w:r>
        <w:rPr>
          <w:rFonts w:ascii="Times New Roman" w:cs="Times New Roman" w:eastAsia="Times New Roman" w:hAnsi="Times New Roman"/>
          <w:sz w:val="22"/>
          <w:szCs w:val="22"/>
        </w:rPr>
        <w:t xml:space="preserve">Why is biometric-only authentication insufficient by itself for EPCS?</w:t>
      </w:r>
    </w:p>
    <w:p>
      <w:pPr>
        <w:pStyle w:val="ListParagraph"/>
        <w:numPr>
          <w:ilvl w:val="0"/>
          <w:numId w:val="3"/>
        </w:numPr>
        <w:spacing w:after="40" w:before="40" w:line="300"/>
      </w:pPr>
      <w:r>
        <w:rPr>
          <w:rFonts w:ascii="Times New Roman" w:cs="Times New Roman" w:eastAsia="Times New Roman" w:hAnsi="Times New Roman"/>
          <w:sz w:val="22"/>
          <w:szCs w:val="22"/>
        </w:rPr>
        <w:t xml:space="preserve">Name one quality measure a pharmacy should monitor in its EPCS workflow.</w:t>
      </w:r>
    </w:p>
    <w:p>
      <w:pPr>
        <w:pStyle w:val="Heading3"/>
        <w:spacing w:after="80" w:before="180"/>
      </w:pPr>
      <w:r>
        <w:rPr>
          <w:rFonts w:ascii="Times New Roman" w:cs="Times New Roman" w:eastAsia="Times New Roman" w:hAnsi="Times New Roman"/>
          <w:b/>
          <w:bCs/>
          <w:color w:val="0A7E8C"/>
          <w:sz w:val="24"/>
          <w:szCs w:val="24"/>
        </w:rPr>
        <w:t xml:space="preserve">Model answers</w:t>
      </w:r>
    </w:p>
    <w:p>
      <w:pPr>
        <w:spacing w:after="60" w:before="60" w:line="300"/>
        <w:jc w:val="both"/>
      </w:pPr>
      <w:r>
        <w:rPr>
          <w:rFonts w:ascii="Times New Roman" w:cs="Times New Roman" w:eastAsia="Times New Roman" w:hAnsi="Times New Roman"/>
          <w:b/>
          <w:bCs/>
          <w:i w:val="false"/>
          <w:iCs w:val="false"/>
          <w:color w:val="0D2D6B"/>
          <w:sz w:val="22"/>
          <w:szCs w:val="22"/>
        </w:rPr>
        <w:t xml:space="preserve">Q1 — </w:t>
      </w:r>
      <w:r>
        <w:rPr>
          <w:rFonts w:ascii="Times New Roman" w:cs="Times New Roman" w:eastAsia="Times New Roman" w:hAnsi="Times New Roman"/>
          <w:b w:val="false"/>
          <w:bCs w:val="false"/>
          <w:i w:val="false"/>
          <w:iCs w:val="false"/>
          <w:sz w:val="22"/>
          <w:szCs w:val="22"/>
        </w:rPr>
        <w:t xml:space="preserve">No — they must obtain a replacement second factor through the credentialing process. A workaround such as borrowing another prescriber's token is a regulatory and patient-safety violation.</w:t>
      </w:r>
    </w:p>
    <w:p>
      <w:pPr>
        <w:spacing w:after="60" w:before="60" w:line="300"/>
        <w:jc w:val="both"/>
      </w:pPr>
      <w:r>
        <w:rPr>
          <w:rFonts w:ascii="Times New Roman" w:cs="Times New Roman" w:eastAsia="Times New Roman" w:hAnsi="Times New Roman"/>
          <w:b/>
          <w:bCs/>
          <w:i w:val="false"/>
          <w:iCs w:val="false"/>
          <w:color w:val="0D2D6B"/>
          <w:sz w:val="22"/>
          <w:szCs w:val="22"/>
        </w:rPr>
        <w:t xml:space="preserve">Q2 — </w:t>
      </w:r>
      <w:r>
        <w:rPr>
          <w:rFonts w:ascii="Times New Roman" w:cs="Times New Roman" w:eastAsia="Times New Roman" w:hAnsi="Times New Roman"/>
          <w:b w:val="false"/>
          <w:bCs w:val="false"/>
          <w:i w:val="false"/>
          <w:iCs w:val="false"/>
          <w:sz w:val="22"/>
          <w:szCs w:val="22"/>
        </w:rPr>
        <w:t xml:space="preserve">Two-factor authentication requires factors from two different categories (know / have / are). Biometric alone is one factor (something you are); it must be paired with a password (know) or a token (have).</w:t>
      </w:r>
    </w:p>
    <w:p>
      <w:pPr>
        <w:spacing w:after="60" w:before="60" w:line="300"/>
        <w:jc w:val="both"/>
      </w:pPr>
      <w:r>
        <w:rPr>
          <w:rFonts w:ascii="Times New Roman" w:cs="Times New Roman" w:eastAsia="Times New Roman" w:hAnsi="Times New Roman"/>
          <w:b/>
          <w:bCs/>
          <w:i w:val="false"/>
          <w:iCs w:val="false"/>
          <w:color w:val="0D2D6B"/>
          <w:sz w:val="22"/>
          <w:szCs w:val="22"/>
        </w:rPr>
        <w:t xml:space="preserve">Q3 — </w:t>
      </w:r>
      <w:r>
        <w:rPr>
          <w:rFonts w:ascii="Times New Roman" w:cs="Times New Roman" w:eastAsia="Times New Roman" w:hAnsi="Times New Roman"/>
          <w:b w:val="false"/>
          <w:bCs w:val="false"/>
          <w:i w:val="false"/>
          <w:iCs w:val="false"/>
          <w:sz w:val="22"/>
          <w:szCs w:val="22"/>
        </w:rPr>
        <w:t xml:space="preserve">Examples: rate of two-factor authentication failures at signing; proportion of controlled-substance prescriptions transmitted via EPCS vs. paper; pharmacist override rate on prescriber-DEA verification; time-to-dispense for EPCS prescriptions.</w:t>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11. MCQ Practice Bank with Rationales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Attempt each item before reading the rationale. The distractors are intentionally close — that is how examiners discriminate.</w:t>
      </w:r>
    </w:p>
    <w:p>
      <w:pPr>
        <w:spacing w:after="60" w:before="60" w:line="300"/>
        <w:jc w:val="both"/>
      </w:pPr>
      <w:r>
        <w:rPr>
          <w:rFonts w:ascii="Times New Roman" w:cs="Times New Roman" w:eastAsia="Times New Roman" w:hAnsi="Times New Roman"/>
          <w:b/>
          <w:bCs/>
          <w:i w:val="false"/>
          <w:iCs w:val="false"/>
          <w:color w:val="0D2D6B"/>
          <w:sz w:val="22"/>
          <w:szCs w:val="22"/>
        </w:rPr>
        <w:t xml:space="preserve">Q1. Which standard is most commonly used to transmit outpatient electronic prescriptions between an EHR and a community pharmacy?</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HL7 v2 ORM message</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NCPDP SCRIPT</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DICOM</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FHIR Observation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B. NCPDP SCRIPT is the de facto outpatient e-prescribing standard. HL7 v2 is used inpatient. DICOM is for imaging. FHIR Observation is for clinical observations, not prescriptions (FHIR MedicationRequest is the prescription resource).</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Q2. A prescriber types "Take as directed" in the Sig field. Which CDS check is MOST likely to fail as a result?</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Drug–allergy check</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Drug–drug interaction check</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Maximum daily dose check</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Formulary status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C. Maximum-dose checks require a computable daily dose, which depends on structured dose and frequency fields. Allergy, DDI, and formulary checks rely on the drug identifier, not the Sig.</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Q3. The MOST common cause of selection (pick-list) errors in CPOE is: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Network latency</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Look-alike drug names sorted alphabetically</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Insufficient prescriber training in pharmacology</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Lack of barcoding at dispensing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B. Selection errors arise when adjacent items in a dropdown look or sound similar. Tall-man lettering and segregating high-alert medications mitigate the risk.</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Q4. Which is a mandatory requirement for EPCS but NOT for standard e-prescribing?</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Patient identifier on the prescription</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Structured Sig</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Two-factor authentication at signing</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Drug–drug interaction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C. Two-factor authentication is the defining EPCS technical control. The other three are best practice for all e-Rx.</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Q5. RxNorm primarily provides: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Diagnostic codes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Laboratory test codes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Normalized clinical drug names and identifiers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Units of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C. RxNorm normalizes clinical drug naming. ICD-10 = diagnoses; LOINC = lab; UCUM = units.</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Q6. A community pharmacist wants to suggest a therapeutic substitution to the prescriber via the SCRIPT standard. The correct message is: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NewRx</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RxRenewal</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RxChange (Request)</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CancelRx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C. RxChange is the bidirectional message used by pharmacies to request prescriber-approved changes (substitution, dose, quantity). The prescriber responds with RxChange Response.</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Q7. "Alert fatigue" is BEST defined as: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Slow rendering of CDS alerts due to server load</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Reflex overriding of alerts because the volume and low specificity desensitize the prescriber</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A regulatory penalty applied to systems that miss alerts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A patient symptom of polypharmacy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B. Alert fatigue is a human-factors phenomenon: high alert volume + low positive-predictive value → desensitization → safety-critical alerts dismissed.</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Q8. Closed-loop medication management requires which of the following at the bedside?</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Faxed medication administration records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Bar-code scanning of patient wristband and medication, documenting administration in the eMAR</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Verbal read-back between nurse and pharmacist only</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A printed paper copy of the prescription at the bedside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B. BCMA (bar-code medication administration) electronically verifies the five rights and writes back to the eMAR, completing the closed loop.</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Q9. A renal dose-adjustment CDS rule requires which two structured data elements at minimum?</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Patient height and weight</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eGFR (or creatinine clearance) and the drug's renal-dosing rule set</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Patient allergy list and drug class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ICD-10 diagnosis and billing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B. Renal CDS needs a measure of kidney function (eGFR/CrCl, often via a LOINC-coded lab) and a structured renal-dosing rule keyed to the drug ingredient.</w:t>
            </w:r>
          </w:p>
        </w:tc>
      </w:tr>
    </w:tbl>
    <w:p>
      <w:pPr>
        <w:spacing w:after="80"/>
      </w:pPr>
      <w:r>
        <w:rPr>
          <w:rFonts w:ascii="Times New Roman" w:cs="Times New Roman" w:eastAsia="Times New Roman" w:hAnsi="Times New Roman"/>
        </w:rPr>
        <w:t xml:space="preserve"/>
      </w:r>
    </w:p>
    <w:p>
      <w:pPr>
        <w:spacing w:after="60" w:before="60" w:line="300"/>
        <w:jc w:val="both"/>
      </w:pPr>
      <w:r>
        <w:rPr>
          <w:rFonts w:ascii="Times New Roman" w:cs="Times New Roman" w:eastAsia="Times New Roman" w:hAnsi="Times New Roman"/>
          <w:b/>
          <w:bCs/>
          <w:i w:val="false"/>
          <w:iCs w:val="false"/>
          <w:color w:val="0D2D6B"/>
          <w:sz w:val="22"/>
          <w:szCs w:val="22"/>
        </w:rPr>
        <w:t xml:space="preserve">Q10. Which combination is the BEST example of a true two-factor authentication for EPCS?</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A. Password + security question</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B. Fingerprint + iris scan</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C. Password + one-time code from a hardware token</w:t>
      </w:r>
    </w:p>
    <w:p>
      <w:pPr>
        <w:spacing w:after="60" w:before="60" w:line="300"/>
        <w:ind w:left="360"/>
        <w:jc w:val="both"/>
      </w:pPr>
      <w:r>
        <w:rPr>
          <w:rFonts w:ascii="Times New Roman" w:cs="Times New Roman" w:eastAsia="Times New Roman" w:hAnsi="Times New Roman"/>
          <w:b w:val="false"/>
          <w:bCs w:val="false"/>
          <w:i w:val="false"/>
          <w:iCs w:val="false"/>
          <w:sz w:val="22"/>
          <w:szCs w:val="22"/>
        </w:rPr>
        <w:t xml:space="preserve">D. Username + employee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&amp; rationale</w:t>
            </w:r>
          </w:p>
          <w:p>
            <w:pPr>
              <w:spacing w:line="300"/>
              <w:jc w:val="both"/>
            </w:pPr>
            <w:r>
              <w:rPr>
                <w:rFonts w:ascii="Times New Roman" w:cs="Times New Roman" w:eastAsia="Times New Roman" w:hAnsi="Times New Roman"/>
                <w:sz w:val="22"/>
                <w:szCs w:val="22"/>
              </w:rPr>
              <w:t xml:space="preserve">C. Two factors must come from different categories (know/have/are). Password (know) + token-generated OTP (have) satisfies this. Two "know" factors (A) or two "are" factors (B) do not.</w:t>
            </w:r>
          </w:p>
        </w:tc>
      </w:tr>
    </w:tbl>
    <w:p>
      <w:pPr>
        <w:spacing w:after="80"/>
      </w:pPr>
      <w:r>
        <w:rPr>
          <w:rFonts w:ascii="Times New Roman" w:cs="Times New Roman" w:eastAsia="Times New Roman" w:hAnsi="Times New Roman"/>
        </w:rPr>
        <w:t xml:space="preserve"/>
      </w:r>
    </w:p>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12. Matching Exercises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Match the term on the left with the best description on the right. Answers are at the end of the section.</w:t>
      </w:r>
    </w:p>
    <w:p>
      <w:pPr>
        <w:pStyle w:val="Heading3"/>
        <w:spacing w:after="80" w:before="180"/>
      </w:pPr>
      <w:r>
        <w:rPr>
          <w:rFonts w:ascii="Times New Roman" w:cs="Times New Roman" w:eastAsia="Times New Roman" w:hAnsi="Times New Roman"/>
          <w:b/>
          <w:bCs/>
          <w:color w:val="0A7E8C"/>
          <w:sz w:val="24"/>
          <w:szCs w:val="24"/>
        </w:rPr>
        <w:t xml:space="preserve">Set A —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Term</w:t>
            </w:r>
          </w:p>
        </w:tc>
        <w:tc>
          <w:tcPr>
            <w:tcW w:type="dxa" w:w="57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Description</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1. NCPDP SCRIPT</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 Diagnostic code set</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2. RxNorm</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 Outpatient e-prescribing transactions</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3. ICD-10</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 Lab and observation codes</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4. LOINC</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 Normalized clinical drug names</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5. UCUM</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 Units of measure</w:t>
            </w:r>
          </w:p>
        </w:tc>
      </w:tr>
    </w:tbl>
    <w:p>
      <w:pPr>
        <w:pStyle w:val="Heading3"/>
        <w:spacing w:after="80" w:before="180"/>
      </w:pPr>
      <w:r>
        <w:rPr>
          <w:rFonts w:ascii="Times New Roman" w:cs="Times New Roman" w:eastAsia="Times New Roman" w:hAnsi="Times New Roman"/>
          <w:b/>
          <w:bCs/>
          <w:color w:val="0A7E8C"/>
          <w:sz w:val="24"/>
          <w:szCs w:val="24"/>
        </w:rPr>
        <w:t xml:space="preserve">Set B — Workflow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Step</w:t>
            </w:r>
          </w:p>
        </w:tc>
        <w:tc>
          <w:tcPr>
            <w:tcW w:type="dxa" w:w="57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Description</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1. Order entry</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 Drug administration is recorded in the eMAR</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2. CDS firing</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 Prescriber selects drug, builds structured Sig</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3. Authentication</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 Pharmacist screens and verifies</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4. Transmission</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 Two-factor signing for EPCS</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5. Verification</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 Allergy, DDI, dose, duplicate checks</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6. Administration</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f. Message routed via SCRIPT or HL7</w:t>
            </w:r>
          </w:p>
        </w:tc>
      </w:tr>
    </w:tbl>
    <w:p>
      <w:pPr>
        <w:pStyle w:val="Heading3"/>
        <w:spacing w:after="80" w:before="180"/>
      </w:pPr>
      <w:r>
        <w:rPr>
          <w:rFonts w:ascii="Times New Roman" w:cs="Times New Roman" w:eastAsia="Times New Roman" w:hAnsi="Times New Roman"/>
          <w:b/>
          <w:bCs/>
          <w:color w:val="0A7E8C"/>
          <w:sz w:val="24"/>
          <w:szCs w:val="24"/>
        </w:rPr>
        <w:t xml:space="preserve">Set C — CDS check ↔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Check</w:t>
            </w:r>
          </w:p>
        </w:tc>
        <w:tc>
          <w:tcPr>
            <w:tcW w:type="dxa" w:w="57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Scenario</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1. Drug–allergy</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 Two PPIs co-prescribed</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2. DDI</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 Cefuroxime in a documented penicillin-anaphylaxis patient</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3. Duplicate therapy</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 Enoxaparin standard dose with eGFR 22</w:t>
            </w:r>
          </w:p>
        </w:tc>
      </w:tr>
      <w:tr>
        <w:tc>
          <w:tcPr>
            <w:tcW w:type="dxa" w:w="36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4. Renal adjustment</w:t>
            </w:r>
          </w:p>
        </w:tc>
        <w:tc>
          <w:tcPr>
            <w:tcW w:type="dxa" w:w="57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 Warfarin + new ciprofloxacin</w:t>
            </w:r>
          </w:p>
        </w:tc>
      </w:tr>
      <w:tr>
        <w:tc>
          <w:tcPr>
            <w:tcW w:type="dxa" w:w="36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5. Dose-range</w:t>
            </w:r>
          </w:p>
        </w:tc>
        <w:tc>
          <w:tcPr>
            <w:tcW w:type="dxa" w:w="57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 Paracetamol &gt; 4 g/day adult</w:t>
            </w:r>
          </w:p>
        </w:tc>
      </w:tr>
    </w:tbl>
    <w:p>
      <w:pPr>
        <w:spacing w:after="12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D6A0" w:sz="4"/>
              <w:left w:val="single" w:color="06D6A0" w:sz="24"/>
              <w:bottom w:val="single" w:color="06D6A0" w:sz="4"/>
              <w:right w:val="single" w:color="06D6A0" w:sz="4"/>
            </w:tcBorders>
            <w:shd w:fill="EAF7EF" w:val="clear"/>
            <w:tcMar>
              <w:top w:type="dxa" w:w="140"/>
              <w:left w:type="dxa" w:w="200"/>
              <w:bottom w:type="dxa" w:w="140"/>
              <w:right w:type="dxa" w:w="200"/>
            </w:tcMar>
          </w:tcPr>
          <w:p>
            <w:pPr>
              <w:spacing w:after="60"/>
            </w:pPr>
            <w:r>
              <w:rPr>
                <w:rFonts w:ascii="Times New Roman" w:cs="Times New Roman" w:eastAsia="Times New Roman" w:hAnsi="Times New Roman"/>
                <w:b/>
                <w:bCs/>
                <w:color w:val="06D6A0"/>
                <w:sz w:val="22"/>
                <w:szCs w:val="22"/>
              </w:rPr>
              <w:t xml:space="preserve">Answer key</w:t>
            </w:r>
          </w:p>
          <w:p>
            <w:pPr>
              <w:spacing w:line="300"/>
              <w:jc w:val="both"/>
            </w:pPr>
            <w:r>
              <w:rPr>
                <w:rFonts w:ascii="Times New Roman" w:cs="Times New Roman" w:eastAsia="Times New Roman" w:hAnsi="Times New Roman"/>
                <w:sz w:val="22"/>
                <w:szCs w:val="22"/>
              </w:rPr>
              <w:t xml:space="preserve">Set A: 1-b, 2-d, 3-a, 4-c, 5-e.   Set B: 1-b, 2-e, 3-d, 4-f, 5-c, 6-a.   Set C: 1-b, 2-d, 3-a, 4-c, 5-e.</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13. Flashcard Set — High-Yield Definitions</w:t>
      </w:r>
    </w:p>
    <w:p>
      <w:pPr>
        <w:spacing w:after="60" w:before="60" w:line="300"/>
        <w:jc w:val="both"/>
      </w:pPr>
      <w:r>
        <w:rPr>
          <w:rFonts w:ascii="Times New Roman" w:cs="Times New Roman" w:eastAsia="Times New Roman" w:hAnsi="Times New Roman"/>
          <w:b w:val="false"/>
          <w:bCs w:val="false"/>
          <w:i w:val="false"/>
          <w:iCs w:val="false"/>
          <w:sz w:val="22"/>
          <w:szCs w:val="22"/>
        </w:rPr>
        <w:t xml:space="preserve">Twenty front/back pairs. Cover the right column, recall the answer, then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Front (term)</w:t>
            </w:r>
          </w:p>
        </w:tc>
        <w:tc>
          <w:tcPr>
            <w:tcW w:type="dxa" w:w="6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Back (definition)</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e-Prescribing</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Computer-based generation, transmission, and filling of a structured medication prescription.</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CPOE</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Computerized Provider Order Entry — inpatient electronic order entry covering all order types.</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EPCS</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Electronic Prescribing of Controlled Substances — regulated subset requiring identity proofing and two-factor authentication.</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NCPDP SCRIPT</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Dominant outpatient e-prescribing message standard (NewRx, RxRenewal, RxChange, CancelRx, RxFill).</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HL7 v2 / FHIR</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Inpatient and modern API standards for clinical messaging; FHIR resources include MedicationRequest.</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RxNorm</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Normalized clinical drug nomenclature linking ingredient, strength, dose form, brand, and generic.</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SNOMED CT</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Comprehensive clinical terminology for diagnoses, findings, allergens, and dose forms.</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ICD-10</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WHO diagnostic and morbidity coding system.</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LOINC</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Standard for laboratory and clinical observation identifiers.</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UCUM</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Unified Code for Units of Measure — prevents unit ambiguity.</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Structured Sig</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Discrete dose + route + frequency + duration + indication fields that enable CDS calculation.</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CDS</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Clinical Decision Support — point-of-order screening (allergy, DDI, dose, duplicate, formulary, renal).</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Alert fatigue</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Reflex overriding caused by high alert volume and low specificity.</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e-Iatrogenesis</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Patient harm caused or facilitated by the health-IT system itself.</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Two-factor authentication</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Authentication using two factors from different categories: know / have / are.</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Closed-loop medication management</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End-to-end digital chain: prescribe → verify → dispense → administer → document.</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BCMA</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Bar-Code Medication Administration — scans patient wristband and medication at the bedside.</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RxChange</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SCRIPT message used by pharmacists to request a prescriber-approved change (substitution, dose, quantity).</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CancelRx</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SCRIPT message used by a prescriber to cancel a previously transmitted prescription.</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Override reason</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Structured rationale captured when a prescriber dismisses a CDS alert — supports audit and quality improvement.</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Term</w:t>
            </w:r>
          </w:p>
        </w:tc>
        <w:tc>
          <w:tcPr>
            <w:tcW w:type="dxa" w:w="6360"/>
            <w:tcBorders>
              <w:top w:val="single" w:color="D0DAF0" w:sz="4"/>
              <w:left w:val="single" w:color="D0DAF0" w:sz="4"/>
              <w:bottom w:val="single" w:color="D0DAF0" w:sz="4"/>
              <w:right w:val="single" w:color="D0DAF0" w:sz="4"/>
            </w:tcBorders>
            <w:shd w:fill="0D2D6B" w:val="clear"/>
            <w:tcMar>
              <w:top w:type="dxa" w:w="100"/>
              <w:left w:type="dxa" w:w="120"/>
              <w:bottom w:type="dxa" w:w="100"/>
              <w:right w:type="dxa" w:w="120"/>
            </w:tcMar>
            <w:vAlign w:val="center"/>
          </w:tcPr>
          <w:p>
            <w:r>
              <w:rPr>
                <w:rFonts w:ascii="Times New Roman" w:cs="Times New Roman" w:eastAsia="Times New Roman" w:hAnsi="Times New Roman"/>
                <w:b/>
                <w:bCs/>
                <w:color w:val="FFFFFF"/>
                <w:sz w:val="22"/>
                <w:szCs w:val="22"/>
              </w:rPr>
              <w:t xml:space="preserve">Definition</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Adverse drug event (ADE)</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Any injury resulting from medical use of a drug, whether or not the drug was used correctly.</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Audit trail</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An immutable, time-stamped log of system events used for security and quality review.</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Beta-lactam cross-reactivity</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 (variable) risk that a patient allergic to penicillin reacts to cephalosporins or carbapenems.</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Child-Pugh score</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 clinical score used to grade chronic liver disease and guide hepatic dose adjustment.</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Drug–drug interaction (DDI)</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Pharmacokinetic or pharmacodynamic interaction between two co-administered drugs.</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eGFR</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Estimated glomerular filtration rate — a calculated index of kidney function used for renal dosing.</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eMAR</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Electronic Medication Administration Record — the inpatient record of every dose given.</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Formulary</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 list of medications approved for prescribing within a health plan or institution.</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Identity proofing</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 process of verifying that an applicant for a digital credential is who they claim to be.</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Interoperability</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 ability of different IT systems to exchange and use information meaningfully.</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Medication reconciliation</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Comparing a patient's medication orders to all medications they are actually taking at transitions of care.</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Pharmacovigilance</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Surveillance for adverse drug reactions and other drug-related problems.</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Switch</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An intermediary network (e.g., Surescripts) that routes SCRIPT messages between EHRs and pharmacies.</w:t>
            </w:r>
          </w:p>
        </w:tc>
      </w:tr>
      <w:tr>
        <w:tc>
          <w:tcPr>
            <w:tcW w:type="dxa" w:w="300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Tall-man lettering</w:t>
            </w:r>
          </w:p>
        </w:tc>
        <w:tc>
          <w:tcPr>
            <w:tcW w:type="dxa" w:w="6360"/>
            <w:tcBorders>
              <w:top w:val="single" w:color="D0DAF0" w:sz="4"/>
              <w:left w:val="single" w:color="D0DAF0" w:sz="4"/>
              <w:bottom w:val="single" w:color="D0DAF0" w:sz="4"/>
              <w:right w:val="single" w:color="D0DAF0" w:sz="4"/>
            </w:tcBorders>
            <w:shd w:fill="F2F5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Mixed-case formatting used to visually disambiguate look-alike drug names (e.g., predniSONE vs. prednisoLONE).</w:t>
            </w:r>
          </w:p>
        </w:tc>
      </w:tr>
      <w:tr>
        <w:tc>
          <w:tcPr>
            <w:tcW w:type="dxa" w:w="300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Therapeutic interchange</w:t>
            </w:r>
          </w:p>
        </w:tc>
        <w:tc>
          <w:tcPr>
            <w:tcW w:type="dxa" w:w="6360"/>
            <w:tcBorders>
              <w:top w:val="single" w:color="D0DAF0" w:sz="4"/>
              <w:left w:val="single" w:color="D0DAF0" w:sz="4"/>
              <w:bottom w:val="single" w:color="D0DAF0" w:sz="4"/>
              <w:right w:val="single" w:color="D0DAF0" w:sz="4"/>
            </w:tcBorders>
            <w:shd w:fill="FFFFFF" w:val="clear"/>
            <w:tcMar>
              <w:top w:type="dxa" w:w="90"/>
              <w:left w:type="dxa" w:w="120"/>
              <w:bottom w:type="dxa" w:w="90"/>
              <w:right w:type="dxa" w:w="120"/>
            </w:tcMar>
            <w:vAlign w:val="top"/>
          </w:tcPr>
          <w:p>
            <w:pPr>
              <w:jc w:val="left"/>
            </w:pPr>
            <w:r>
              <w:rPr>
                <w:rFonts w:ascii="Times New Roman" w:cs="Times New Roman" w:eastAsia="Times New Roman" w:hAnsi="Times New Roman"/>
                <w:sz w:val="22"/>
                <w:szCs w:val="22"/>
              </w:rPr>
              <w:t xml:space="preserve">Replacing one drug with a clinically equivalent alternative from the same class.</w:t>
            </w:r>
          </w:p>
        </w:tc>
      </w:tr>
    </w:tbl>
    <w:p>
      <w:r>
        <w:br w:type="page"/>
      </w:r>
    </w:p>
    <w:p>
      <w:pPr>
        <w:pStyle w:val="Heading1"/>
        <w:pBdr>
          <w:bottom w:val="single" w:color="0A7E8C" w:sz="12" w:space="6"/>
        </w:pBdr>
        <w:spacing w:after="180" w:before="360"/>
      </w:pPr>
      <w:r>
        <w:rPr>
          <w:rFonts w:ascii="Times New Roman" w:cs="Times New Roman" w:eastAsia="Times New Roman" w:hAnsi="Times New Roman"/>
          <w:b/>
          <w:bCs/>
          <w:color w:val="0D2D6B"/>
          <w:sz w:val="36"/>
          <w:szCs w:val="36"/>
        </w:rPr>
        <w:t xml:space="preserve">15. Further Reading</w:t>
      </w:r>
    </w:p>
    <w:p>
      <w:pPr>
        <w:pStyle w:val="ListParagraph"/>
        <w:numPr>
          <w:ilvl w:val="0"/>
          <w:numId w:val="2"/>
        </w:numPr>
        <w:spacing w:after="40" w:before="40" w:line="300"/>
      </w:pPr>
      <w:r>
        <w:rPr>
          <w:rFonts w:ascii="Times New Roman" w:cs="Times New Roman" w:eastAsia="Times New Roman" w:hAnsi="Times New Roman"/>
          <w:sz w:val="22"/>
          <w:szCs w:val="22"/>
        </w:rPr>
        <w:t xml:space="preserve">Bates DW, Gawande AA. "Improving safety with information technology." New England Journal of Medicine.</w:t>
      </w:r>
    </w:p>
    <w:p>
      <w:pPr>
        <w:pStyle w:val="ListParagraph"/>
        <w:numPr>
          <w:ilvl w:val="0"/>
          <w:numId w:val="2"/>
        </w:numPr>
        <w:spacing w:after="40" w:before="40" w:line="300"/>
      </w:pPr>
      <w:r>
        <w:rPr>
          <w:rFonts w:ascii="Times New Roman" w:cs="Times New Roman" w:eastAsia="Times New Roman" w:hAnsi="Times New Roman"/>
          <w:sz w:val="22"/>
          <w:szCs w:val="22"/>
        </w:rPr>
        <w:t xml:space="preserve">NCPDP. "SCRIPT Implementation Recommendations." Current edition. (https://www.ncpdp.org)</w:t>
      </w:r>
    </w:p>
    <w:p>
      <w:pPr>
        <w:pStyle w:val="ListParagraph"/>
        <w:numPr>
          <w:ilvl w:val="0"/>
          <w:numId w:val="2"/>
        </w:numPr>
        <w:spacing w:after="40" w:before="40" w:line="300"/>
      </w:pPr>
      <w:r>
        <w:rPr>
          <w:rFonts w:ascii="Times New Roman" w:cs="Times New Roman" w:eastAsia="Times New Roman" w:hAnsi="Times New Roman"/>
          <w:sz w:val="22"/>
          <w:szCs w:val="22"/>
        </w:rPr>
        <w:t xml:space="preserve">HL7 International. "FHIR — MedicationRequest resource." (https://www.hl7.org/fhir)</w:t>
      </w:r>
    </w:p>
    <w:p>
      <w:pPr>
        <w:pStyle w:val="ListParagraph"/>
        <w:numPr>
          <w:ilvl w:val="0"/>
          <w:numId w:val="2"/>
        </w:numPr>
        <w:spacing w:after="40" w:before="40" w:line="300"/>
      </w:pPr>
      <w:r>
        <w:rPr>
          <w:rFonts w:ascii="Times New Roman" w:cs="Times New Roman" w:eastAsia="Times New Roman" w:hAnsi="Times New Roman"/>
          <w:sz w:val="22"/>
          <w:szCs w:val="22"/>
        </w:rPr>
        <w:t xml:space="preserve">U.S. Drug Enforcement Administration. "Electronic Prescriptions for Controlled Substances; Final Rule." Federal Register.</w:t>
      </w:r>
    </w:p>
    <w:p>
      <w:pPr>
        <w:pStyle w:val="ListParagraph"/>
        <w:numPr>
          <w:ilvl w:val="0"/>
          <w:numId w:val="2"/>
        </w:numPr>
        <w:spacing w:after="40" w:before="40" w:line="300"/>
      </w:pPr>
      <w:r>
        <w:rPr>
          <w:rFonts w:ascii="Times New Roman" w:cs="Times New Roman" w:eastAsia="Times New Roman" w:hAnsi="Times New Roman"/>
          <w:sz w:val="22"/>
          <w:szCs w:val="22"/>
        </w:rPr>
        <w:t xml:space="preserve">Kuperman GJ et al. "Medication-related clinical decision support in computerized provider order entry systems." JAMIA.</w:t>
      </w:r>
    </w:p>
    <w:p>
      <w:pPr>
        <w:pStyle w:val="ListParagraph"/>
        <w:numPr>
          <w:ilvl w:val="0"/>
          <w:numId w:val="2"/>
        </w:numPr>
        <w:spacing w:after="40" w:before="40" w:line="300"/>
      </w:pPr>
      <w:r>
        <w:rPr>
          <w:rFonts w:ascii="Times New Roman" w:cs="Times New Roman" w:eastAsia="Times New Roman" w:hAnsi="Times New Roman"/>
          <w:sz w:val="22"/>
          <w:szCs w:val="22"/>
        </w:rPr>
        <w:t xml:space="preserve">Koppel R et al. "Role of computerized physician order entry systems in facilitating medication errors." JAMA.</w:t>
      </w:r>
    </w:p>
    <w:p>
      <w:pPr>
        <w:pStyle w:val="ListParagraph"/>
        <w:numPr>
          <w:ilvl w:val="0"/>
          <w:numId w:val="2"/>
        </w:numPr>
        <w:spacing w:after="40" w:before="40" w:line="300"/>
      </w:pPr>
      <w:r>
        <w:rPr>
          <w:rFonts w:ascii="Times New Roman" w:cs="Times New Roman" w:eastAsia="Times New Roman" w:hAnsi="Times New Roman"/>
          <w:sz w:val="22"/>
          <w:szCs w:val="22"/>
        </w:rPr>
        <w:t xml:space="preserve">Institute for Safe Medication Practices (ISMP). "Guidelines for Safe Electronic Communication of Medication Information."</w:t>
      </w:r>
    </w:p>
    <w:p>
      <w:pPr>
        <w:pStyle w:val="ListParagraph"/>
        <w:numPr>
          <w:ilvl w:val="0"/>
          <w:numId w:val="2"/>
        </w:numPr>
        <w:spacing w:after="40" w:before="40" w:line="300"/>
      </w:pPr>
      <w:r>
        <w:rPr>
          <w:rFonts w:ascii="Times New Roman" w:cs="Times New Roman" w:eastAsia="Times New Roman" w:hAnsi="Times New Roman"/>
          <w:sz w:val="22"/>
          <w:szCs w:val="22"/>
        </w:rPr>
        <w:t xml:space="preserve">Hakeem Programme (Electronic Health Solutions, Jordan). "National e-health platform overview."</w:t>
      </w:r>
    </w:p>
    <w:p>
      <w:pPr>
        <w:spacing w:after="24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5EC2" w:sz="4"/>
              <w:left w:val="single" w:color="845EC2" w:sz="24"/>
              <w:bottom w:val="single" w:color="845EC2" w:sz="4"/>
              <w:right w:val="single" w:color="845EC2" w:sz="4"/>
            </w:tcBorders>
            <w:shd w:fill="F2F5FF" w:val="clear"/>
            <w:tcMar>
              <w:top w:type="dxa" w:w="140"/>
              <w:left w:type="dxa" w:w="200"/>
              <w:bottom w:type="dxa" w:w="140"/>
              <w:right w:type="dxa" w:w="200"/>
            </w:tcMar>
          </w:tcPr>
          <w:p>
            <w:pPr>
              <w:spacing w:after="60"/>
            </w:pPr>
            <w:r>
              <w:rPr>
                <w:rFonts w:ascii="Times New Roman" w:cs="Times New Roman" w:eastAsia="Times New Roman" w:hAnsi="Times New Roman"/>
                <w:b/>
                <w:bCs/>
                <w:color w:val="845EC2"/>
                <w:sz w:val="22"/>
                <w:szCs w:val="22"/>
              </w:rPr>
              <w:t xml:space="preserve">Companion interactive cases</w:t>
            </w:r>
          </w:p>
          <w:p>
            <w:pPr>
              <w:spacing w:line="300"/>
              <w:jc w:val="both"/>
            </w:pPr>
            <w:r>
              <w:rPr>
                <w:rFonts w:ascii="Times New Roman" w:cs="Times New Roman" w:eastAsia="Times New Roman" w:hAnsi="Times New Roman"/>
                <w:sz w:val="22"/>
                <w:szCs w:val="22"/>
              </w:rPr>
              <w:t xml:space="preserve">The QR code on your printed card links to the interactive companion. If you experienced a 404, ensure the URL is loaded EXACTLY as printed (case-sensitive on GitHub Pages) and that you append a trailing slash. Direct entry: samarjmelhem-maker.github.io/EP-interactive-case-PA-Master-Samar-J-Melhem/</w:t>
            </w:r>
          </w:p>
        </w:tc>
      </w:tr>
    </w:tbl>
    <w:p>
      <w:pPr>
        <w:spacing w:after="360"/>
      </w:pPr>
      <w:r>
        <w:rPr>
          <w:rFonts w:ascii="Times New Roman" w:cs="Times New Roman" w:eastAsia="Times New Roman" w:hAnsi="Times New Roman"/>
        </w:rPr>
        <w:t xml:space="preserve"/>
      </w:r>
    </w:p>
    <w:p>
      <w:pPr>
        <w:spacing w:before="600"/>
        <w:jc w:val="center"/>
      </w:pPr>
      <w:r>
        <w:rPr>
          <w:rFonts w:ascii="Times New Roman" w:cs="Times New Roman" w:eastAsia="Times New Roman" w:hAnsi="Times New Roman"/>
          <w:i/>
          <w:iCs/>
          <w:color w:val="5A6680"/>
          <w:sz w:val="22"/>
          <w:szCs w:val="22"/>
        </w:rPr>
        <w:t xml:space="preserve">— End of Study Guide —</w:t>
      </w:r>
    </w:p>
    <w:p>
      <w:pPr>
        <w:spacing w:before="60"/>
        <w:jc w:val="center"/>
      </w:pPr>
      <w:r>
        <w:rPr>
          <w:rFonts w:ascii="Times New Roman" w:cs="Times New Roman" w:eastAsia="Times New Roman" w:hAnsi="Times New Roman"/>
          <w:color w:val="5A6680"/>
          <w:sz w:val="20"/>
          <w:szCs w:val="20"/>
        </w:rPr>
        <w:t xml:space="preserve">© 2026 Dr. Samar J. Melhem · School of Pharmacy · University of Jordan</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7E8C" w:sz="6" w:space="4"/>
      </w:pBdr>
      <w:tabs>
        <w:tab w:val="right" w:pos="9360"/>
      </w:tabs>
    </w:pPr>
    <w:r>
      <w:rPr>
        <w:rFonts w:ascii="Times New Roman" w:cs="Times New Roman" w:eastAsia="Times New Roman" w:hAnsi="Times New Roman"/>
        <w:color w:val="0D2D6B"/>
        <w:sz w:val="18"/>
        <w:szCs w:val="18"/>
      </w:rPr>
      <w:t xml:space="preserve">Dr. Samar J. Melhem  ·  sa.melhem@ju.edu.jo  ·  Office 225  ·  University of Jordan</w:t>
    </w:r>
    <w:r>
      <w:rPr>
        <w:rFonts w:ascii="Times New Roman" w:cs="Times New Roman" w:eastAsia="Times New Roman" w:hAnsi="Times New Roman"/>
      </w:rPr>
      <w:t xml:space="preserve">	</w:t>
    </w:r>
    <w:r>
      <w:rPr>
        <w:rFonts w:ascii="Times New Roman" w:cs="Times New Roman" w:eastAsia="Times New Roman" w:hAnsi="Times New Roman"/>
        <w:color w:val="0D2D6B"/>
        <w:sz w:val="18"/>
        <w:szCs w:val="18"/>
      </w:rPr>
      <w:t xml:space="preserve">Page </w:t>
    </w:r>
    <w:r>
      <w:rPr>
        <w:rFonts w:ascii="Times New Roman" w:cs="Times New Roman" w:eastAsia="Times New Roman" w:hAnsi="Times New Roman"/>
        <w:b/>
        <w:bCs/>
        <w:color w:val="0D2D6B"/>
        <w:sz w:val="18"/>
        <w:szCs w:val="18"/>
      </w:rPr>
      <w:fldChar w:fldCharType="begin"/>
      <w:instrText xml:space="preserve">PAGE</w:instrText>
      <w:fldChar w:fldCharType="separate"/>
      <w:fldChar w:fldCharType="end"/>
    </w:r>
    <w:r>
      <w:rPr>
        <w:rFonts w:ascii="Times New Roman" w:cs="Times New Roman" w:eastAsia="Times New Roman" w:hAnsi="Times New Roman"/>
        <w:color w:val="0D2D6B"/>
        <w:sz w:val="18"/>
        <w:szCs w:val="18"/>
      </w:rPr>
      <w:t xml:space="preserve"> of </w:t>
    </w:r>
    <w:r>
      <w:rPr>
        <w:rFonts w:ascii="Times New Roman" w:cs="Times New Roman" w:eastAsia="Times New Roman" w:hAnsi="Times New Roman"/>
        <w:b/>
        <w:bCs/>
        <w:color w:val="0D2D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8C" w:sz="6" w:space="4"/>
      </w:pBdr>
      <w:tabs>
        <w:tab w:val="right" w:pos="9360"/>
      </w:tabs>
    </w:pPr>
    <w:r>
      <w:rPr>
        <w:rFonts w:ascii="Times New Roman" w:cs="Times New Roman" w:eastAsia="Times New Roman" w:hAnsi="Times New Roman"/>
        <w:b/>
        <w:bCs/>
        <w:color w:val="0D2D6B"/>
        <w:sz w:val="18"/>
        <w:szCs w:val="18"/>
      </w:rPr>
      <w:t xml:space="preserve">Interactive Cases on Electronic Prescribing — Study Guide</w:t>
    </w:r>
    <w:r>
      <w:rPr>
        <w:rFonts w:ascii="Times New Roman" w:cs="Times New Roman" w:eastAsia="Times New Roman" w:hAnsi="Times New Roman"/>
      </w:rPr>
      <w:t xml:space="preserve">	</w:t>
    </w:r>
    <w:r>
      <w:rPr>
        <w:rFonts w:ascii="Times New Roman" w:cs="Times New Roman" w:eastAsia="Times New Roman" w:hAnsi="Times New Roman"/>
        <w:i/>
        <w:iCs/>
        <w:color w:val="5A6680"/>
        <w:sz w:val="18"/>
        <w:szCs w:val="18"/>
      </w:rPr>
      <w:t xml:space="preserve">PIMS · Master in Pharmacy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D2D6B"/>
      <w:sz w:val="36"/>
      <w:szCs w:val="3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D2D6B"/>
      <w:sz w:val="28"/>
      <w:szCs w:val="28"/>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0A7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Cases on Electronic Prescribing — Study Guide</dc:title>
  <dc:creator>Dr. Samar J. Melhem</dc:creator>
  <dc:description>Study guide for the PIMS Master course — Electronic Prescribing interactive cases</dc:description>
  <cp:lastModifiedBy>Un-named</cp:lastModifiedBy>
  <cp:revision>1</cp:revision>
  <dcterms:created xsi:type="dcterms:W3CDTF">2026-05-12T11:50:34.097Z</dcterms:created>
  <dcterms:modified xsi:type="dcterms:W3CDTF">2026-05-12T11:50:34.097Z</dcterms:modified>
</cp:coreProperties>
</file>

<file path=docProps/custom.xml><?xml version="1.0" encoding="utf-8"?>
<Properties xmlns="http://schemas.openxmlformats.org/officeDocument/2006/custom-properties" xmlns:vt="http://schemas.openxmlformats.org/officeDocument/2006/docPropsVTypes"/>
</file>