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2"/>
          <w:szCs w:val="52"/>
        </w:rPr>
        <w:t xml:space="preserve">Customer Segmentation &amp;</w:t>
      </w:r>
    </w:p>
    <w:p>
      <w:pPr>
        <w:spacing w:before="0" w:after="200"/>
        <w:jc w:val="center"/>
      </w:pPr>
      <w:r>
        <w:rPr>
          <w:rFonts w:ascii="Arial" w:cs="Arial" w:eastAsia="Arial" w:hAnsi="Arial"/>
          <w:b/>
          <w:bCs/>
          <w:color w:val="1F4E79"/>
          <w:sz w:val="52"/>
          <w:szCs w:val="52"/>
        </w:rPr>
        <w:t xml:space="preserve">Churn Pattern Analytics</w:t>
      </w:r>
    </w:p>
    <w:p>
      <w:pPr>
        <w:spacing w:before="0" w:after="200"/>
        <w:jc w:val="center"/>
      </w:pPr>
      <w:r>
        <w:rPr>
          <w:rFonts w:ascii="Arial" w:cs="Arial" w:eastAsia="Arial" w:hAnsi="Arial"/>
          <w:b/>
          <w:bCs/>
          <w:color w:val="1F4E79"/>
          <w:sz w:val="52"/>
          <w:szCs w:val="52"/>
        </w:rPr>
        <w:t xml:space="preserve">in European Banking</w:t>
      </w:r>
    </w:p>
    <w:p>
      <w:pPr>
        <w:spacing w:before="80" w:after="80"/>
      </w:pPr>
      <w:r>
        <w:t xml:space="preserve"/>
      </w:r>
    </w:p>
    <w:p>
      <w:pPr>
        <w:spacing w:before="200" w:after="100"/>
        <w:jc w:val="center"/>
      </w:pPr>
      <w:r>
        <w:rPr>
          <w:rFonts w:ascii="Arial" w:cs="Arial" w:eastAsia="Arial" w:hAnsi="Arial"/>
          <w:i/>
          <w:iCs/>
          <w:color w:val="2E75B6"/>
          <w:sz w:val="32"/>
          <w:szCs w:val="32"/>
        </w:rPr>
        <w:t xml:space="preserve">Research Paper</w:t>
      </w:r>
    </w:p>
    <w:p>
      <w:pPr>
        <w:spacing w:before="100" w:after="100"/>
        <w:jc w:val="center"/>
      </w:pPr>
      <w:r>
        <w:rPr>
          <w:rFonts w:ascii="Arial" w:cs="Arial" w:eastAsia="Arial" w:hAnsi="Arial"/>
          <w:color w:val="444444"/>
          <w:sz w:val="24"/>
          <w:szCs w:val="24"/>
        </w:rPr>
        <w:t xml:space="preserve">Submitted to: The European Central Bank (Unified Mentor)</w:t>
      </w:r>
    </w:p>
    <w:p>
      <w:pPr>
        <w:spacing w:before="80" w:after="80"/>
      </w:pPr>
      <w:r>
        <w:t xml:space="preserve"/>
      </w:r>
    </w:p>
    <w:p>
      <w:pPr>
        <w:spacing w:before="200" w:after="100"/>
        <w:jc w:val="center"/>
      </w:pPr>
      <w:r>
        <w:rPr>
          <w:rFonts w:ascii="Arial" w:cs="Arial" w:eastAsia="Arial" w:hAnsi="Arial"/>
          <w:b/>
          <w:bCs/>
          <w:color w:val="1F4E79"/>
          <w:sz w:val="26"/>
          <w:szCs w:val="26"/>
        </w:rPr>
        <w:t xml:space="preserve">Submitted by: Samr Ojha</w:t>
      </w:r>
    </w:p>
    <w:p>
      <w:pPr>
        <w:spacing w:before="60" w:after="60"/>
        <w:jc w:val="center"/>
      </w:pPr>
      <w:r>
        <w:rPr>
          <w:rFonts w:ascii="Arial" w:cs="Arial" w:eastAsia="Arial" w:hAnsi="Arial"/>
          <w:sz w:val="22"/>
          <w:szCs w:val="22"/>
        </w:rPr>
        <w:t xml:space="preserve">Date: 21 March 2026</w:t>
      </w:r>
    </w:p>
    <w:p>
      <w:pPr>
        <w:spacing w:before="60" w:after="60"/>
        <w:jc w:val="center"/>
      </w:pPr>
      <w:r>
        <w:rPr>
          <w:rFonts w:ascii="Arial" w:cs="Arial" w:eastAsia="Arial" w:hAnsi="Arial"/>
          <w:sz w:val="22"/>
          <w:szCs w:val="22"/>
        </w:rPr>
        <w:t xml:space="preserve">Dataset: European Bank Customer Dataset (10,000 records)</w:t>
      </w:r>
    </w:p>
    <w:p>
      <w:pPr>
        <w:spacing w:before="60" w:after="60"/>
        <w:jc w:val="center"/>
      </w:pPr>
      <w:r>
        <w:rPr>
          <w:rFonts w:ascii="Arial" w:cs="Arial" w:eastAsia="Arial" w:hAnsi="Arial"/>
          <w:sz w:val="22"/>
          <w:szCs w:val="22"/>
        </w:rPr>
        <w:t xml:space="preserve">Tools Used: Excel, SQL (SQLite), Power BI</w:t>
      </w:r>
    </w:p>
    <w:p>
      <w:r>
        <w:br w:type="page"/>
      </w:r>
    </w:p>
    <w:p>
      <w:pPr>
        <w:pStyle w:val="Heading1"/>
        <w:spacing w:before="360" w:after="160"/>
      </w:pPr>
      <w:r>
        <w:rPr>
          <w:rFonts w:ascii="Arial" w:cs="Arial" w:eastAsia="Arial" w:hAnsi="Arial"/>
          <w:b/>
          <w:bCs/>
          <w:color w:val="1F4E79"/>
          <w:sz w:val="32"/>
          <w:szCs w:val="32"/>
        </w:rPr>
        <w:t xml:space="preserve">Abstract</w:t>
      </w:r>
    </w:p>
    <w:p>
      <w:pPr>
        <w:spacing w:before="80" w:after="80" w:line="360"/>
        <w:jc w:val="both"/>
      </w:pPr>
      <w:r>
        <w:rPr>
          <w:rFonts w:ascii="Arial" w:cs="Arial" w:eastAsia="Arial" w:hAnsi="Arial"/>
          <w:sz w:val="22"/>
          <w:szCs w:val="22"/>
        </w:rPr>
        <w:t xml:space="preserve">This research paper presents a comprehensive analysis of customer churn patterns in European retail banking using a dataset of 10,000 customers across France, Germany, and Spain. The study applies systematic segmentation across geographic, demographic, and financial dimensions to identify high-risk customer groups and quantify the revenue impact of churn. Key findings reveal an overall churn rate of 20.4%, with Germany exhibiting the highest geographic risk, customers aged 46-60 showing the greatest churn propensity, and high-balance customers representing the most significant financial risk. The analysis provides actionable recommendations for targeted retention strategies.</w:t>
      </w:r>
    </w:p>
    <w:p>
      <w:pPr>
        <w:spacing w:before="80" w:after="80"/>
      </w:pPr>
      <w:r>
        <w:t xml:space="preserve"/>
      </w:r>
    </w:p>
    <w:p>
      <w:pPr>
        <w:pStyle w:val="Heading1"/>
        <w:spacing w:before="360" w:after="160"/>
      </w:pPr>
      <w:r>
        <w:rPr>
          <w:rFonts w:ascii="Arial" w:cs="Arial" w:eastAsia="Arial" w:hAnsi="Arial"/>
          <w:b/>
          <w:bCs/>
          <w:color w:val="1F4E79"/>
          <w:sz w:val="32"/>
          <w:szCs w:val="32"/>
        </w:rPr>
        <w:t xml:space="preserve">1. Introduction</w:t>
      </w:r>
    </w:p>
    <w:p>
      <w:pPr>
        <w:pStyle w:val="Heading2"/>
        <w:spacing w:before="280" w:after="120"/>
      </w:pPr>
      <w:r>
        <w:rPr>
          <w:rFonts w:ascii="Arial" w:cs="Arial" w:eastAsia="Arial" w:hAnsi="Arial"/>
          <w:b/>
          <w:bCs/>
          <w:color w:val="2E75B6"/>
          <w:sz w:val="26"/>
          <w:szCs w:val="26"/>
        </w:rPr>
        <w:t xml:space="preserve">1.1 Background</w:t>
      </w:r>
    </w:p>
    <w:p>
      <w:pPr>
        <w:spacing w:before="80" w:after="80" w:line="360"/>
        <w:jc w:val="both"/>
      </w:pPr>
      <w:r>
        <w:rPr>
          <w:rFonts w:ascii="Arial" w:cs="Arial" w:eastAsia="Arial" w:hAnsi="Arial"/>
          <w:sz w:val="22"/>
          <w:szCs w:val="22"/>
        </w:rPr>
        <w:t xml:space="preserve">Customer churn — the voluntary exit of customers from a banking relationship — represents one of the most significant hidden costs in modern retail banking. The cost of acquiring a new customer is estimated to be five to seven times higher than retaining an existing one, making churn management a critical strategic priority for financial institutions.</w:t>
      </w:r>
    </w:p>
    <w:p>
      <w:pPr>
        <w:spacing w:before="80" w:after="80"/>
      </w:pPr>
      <w:r>
        <w:t xml:space="preserve"/>
      </w:r>
    </w:p>
    <w:p>
      <w:pPr>
        <w:spacing w:before="80" w:after="80" w:line="360"/>
        <w:jc w:val="both"/>
      </w:pPr>
      <w:r>
        <w:rPr>
          <w:rFonts w:ascii="Arial" w:cs="Arial" w:eastAsia="Arial" w:hAnsi="Arial"/>
          <w:sz w:val="22"/>
          <w:szCs w:val="22"/>
        </w:rPr>
        <w:t xml:space="preserve">Despite access to rich customer-level data, many European banks struggle to move beyond generic, reactive churn management strategies. This research addresses this gap by applying structured segmentation analytics to a real-world European banking dataset.</w:t>
      </w:r>
    </w:p>
    <w:p>
      <w:pPr>
        <w:pStyle w:val="Heading2"/>
        <w:spacing w:before="280" w:after="120"/>
      </w:pPr>
      <w:r>
        <w:rPr>
          <w:rFonts w:ascii="Arial" w:cs="Arial" w:eastAsia="Arial" w:hAnsi="Arial"/>
          <w:b/>
          <w:bCs/>
          <w:color w:val="2E75B6"/>
          <w:sz w:val="26"/>
          <w:szCs w:val="26"/>
        </w:rPr>
        <w:t xml:space="preserve">1.2 Problem Statement</w:t>
      </w:r>
    </w:p>
    <w:p>
      <w:pPr>
        <w:spacing w:before="80" w:after="80" w:line="360"/>
        <w:jc w:val="both"/>
      </w:pPr>
      <w:r>
        <w:rPr>
          <w:rFonts w:ascii="Arial" w:cs="Arial" w:eastAsia="Arial" w:hAnsi="Arial"/>
          <w:sz w:val="22"/>
          <w:szCs w:val="22"/>
        </w:rPr>
        <w:t xml:space="preserve">Banks face three core challenges in churn management:</w:t>
      </w:r>
    </w:p>
    <w:p>
      <w:pPr>
        <w:pStyle w:val="ListParagraph"/>
        <w:numPr>
          <w:ilvl w:val="0"/>
          <w:numId w:val="2"/>
        </w:numPr>
        <w:spacing w:before="60" w:after="60"/>
      </w:pPr>
      <w:r>
        <w:rPr>
          <w:rFonts w:ascii="Arial" w:cs="Arial" w:eastAsia="Arial" w:hAnsi="Arial"/>
          <w:sz w:val="22"/>
          <w:szCs w:val="22"/>
        </w:rPr>
        <w:t xml:space="preserve">Inability to identify which specific customer segments carry the highest churn risk</w:t>
      </w:r>
    </w:p>
    <w:p>
      <w:pPr>
        <w:pStyle w:val="ListParagraph"/>
        <w:numPr>
          <w:ilvl w:val="0"/>
          <w:numId w:val="2"/>
        </w:numPr>
        <w:spacing w:before="60" w:after="60"/>
      </w:pPr>
      <w:r>
        <w:rPr>
          <w:rFonts w:ascii="Arial" w:cs="Arial" w:eastAsia="Arial" w:hAnsi="Arial"/>
          <w:sz w:val="22"/>
          <w:szCs w:val="22"/>
        </w:rPr>
        <w:t xml:space="preserve">Lack of visibility into how churn differs across geographies and demographic groups</w:t>
      </w:r>
    </w:p>
    <w:p>
      <w:pPr>
        <w:pStyle w:val="ListParagraph"/>
        <w:numPr>
          <w:ilvl w:val="0"/>
          <w:numId w:val="2"/>
        </w:numPr>
        <w:spacing w:before="60" w:after="60"/>
      </w:pPr>
      <w:r>
        <w:rPr>
          <w:rFonts w:ascii="Arial" w:cs="Arial" w:eastAsia="Arial" w:hAnsi="Arial"/>
          <w:sz w:val="22"/>
          <w:szCs w:val="22"/>
        </w:rPr>
        <w:t xml:space="preserve">Insufficient understanding of the financial profile of churned customers and the associated revenue risk</w:t>
      </w:r>
    </w:p>
    <w:p>
      <w:pPr>
        <w:pStyle w:val="Heading2"/>
        <w:spacing w:before="280" w:after="120"/>
      </w:pPr>
      <w:r>
        <w:rPr>
          <w:rFonts w:ascii="Arial" w:cs="Arial" w:eastAsia="Arial" w:hAnsi="Arial"/>
          <w:b/>
          <w:bCs/>
          <w:color w:val="2E75B6"/>
          <w:sz w:val="26"/>
          <w:szCs w:val="26"/>
        </w:rPr>
        <w:t xml:space="preserve">1.3 Research Objectives</w:t>
      </w:r>
    </w:p>
    <w:p>
      <w:pPr>
        <w:spacing w:before="80" w:after="80" w:line="360"/>
        <w:jc w:val="both"/>
      </w:pPr>
      <w:r>
        <w:rPr>
          <w:rFonts w:ascii="Arial" w:cs="Arial" w:eastAsia="Arial" w:hAnsi="Arial"/>
          <w:sz w:val="22"/>
          <w:szCs w:val="22"/>
        </w:rPr>
        <w:t xml:space="preserve">Primary objectives of this study are:</w:t>
      </w:r>
    </w:p>
    <w:p>
      <w:pPr>
        <w:pStyle w:val="ListParagraph"/>
        <w:numPr>
          <w:ilvl w:val="0"/>
          <w:numId w:val="2"/>
        </w:numPr>
        <w:spacing w:before="60" w:after="60"/>
      </w:pPr>
      <w:r>
        <w:rPr>
          <w:rFonts w:ascii="Arial" w:cs="Arial" w:eastAsia="Arial" w:hAnsi="Arial"/>
          <w:sz w:val="22"/>
          <w:szCs w:val="22"/>
        </w:rPr>
        <w:t xml:space="preserve">Measure the overall churn rate across the customer base</w:t>
      </w:r>
    </w:p>
    <w:p>
      <w:pPr>
        <w:pStyle w:val="ListParagraph"/>
        <w:numPr>
          <w:ilvl w:val="0"/>
          <w:numId w:val="2"/>
        </w:numPr>
        <w:spacing w:before="60" w:after="60"/>
      </w:pPr>
      <w:r>
        <w:rPr>
          <w:rFonts w:ascii="Arial" w:cs="Arial" w:eastAsia="Arial" w:hAnsi="Arial"/>
          <w:sz w:val="22"/>
          <w:szCs w:val="22"/>
        </w:rPr>
        <w:t xml:space="preserve">Identify churn distribution across key customer segments</w:t>
      </w:r>
    </w:p>
    <w:p>
      <w:pPr>
        <w:pStyle w:val="ListParagraph"/>
        <w:numPr>
          <w:ilvl w:val="0"/>
          <w:numId w:val="2"/>
        </w:numPr>
        <w:spacing w:before="60" w:after="60"/>
      </w:pPr>
      <w:r>
        <w:rPr>
          <w:rFonts w:ascii="Arial" w:cs="Arial" w:eastAsia="Arial" w:hAnsi="Arial"/>
          <w:sz w:val="22"/>
          <w:szCs w:val="22"/>
        </w:rPr>
        <w:t xml:space="preserve">Compare churn behavior across European regions (France, Germany, Spain)</w:t>
      </w:r>
    </w:p>
    <w:p>
      <w:pPr>
        <w:pStyle w:val="ListParagraph"/>
        <w:numPr>
          <w:ilvl w:val="0"/>
          <w:numId w:val="2"/>
        </w:numPr>
        <w:spacing w:before="60" w:after="60"/>
      </w:pPr>
      <w:r>
        <w:rPr>
          <w:rFonts w:ascii="Arial" w:cs="Arial" w:eastAsia="Arial" w:hAnsi="Arial"/>
          <w:sz w:val="22"/>
          <w:szCs w:val="22"/>
        </w:rPr>
        <w:t xml:space="preserve">Understand churn among high-value customers</w:t>
      </w:r>
    </w:p>
    <w:p>
      <w:pPr>
        <w:pStyle w:val="ListParagraph"/>
        <w:numPr>
          <w:ilvl w:val="0"/>
          <w:numId w:val="2"/>
        </w:numPr>
        <w:spacing w:before="60" w:after="60"/>
      </w:pPr>
      <w:r>
        <w:rPr>
          <w:rFonts w:ascii="Arial" w:cs="Arial" w:eastAsia="Arial" w:hAnsi="Arial"/>
          <w:sz w:val="22"/>
          <w:szCs w:val="22"/>
        </w:rPr>
        <w:t xml:space="preserve">Evaluate the relationship between member engagement and churn</w:t>
      </w:r>
    </w:p>
    <w:p>
      <w:r>
        <w:br w:type="page"/>
      </w:r>
    </w:p>
    <w:p>
      <w:pPr>
        <w:pStyle w:val="Heading1"/>
        <w:spacing w:before="360" w:after="160"/>
      </w:pPr>
      <w:r>
        <w:rPr>
          <w:rFonts w:ascii="Arial" w:cs="Arial" w:eastAsia="Arial" w:hAnsi="Arial"/>
          <w:b/>
          <w:bCs/>
          <w:color w:val="1F4E79"/>
          <w:sz w:val="32"/>
          <w:szCs w:val="32"/>
        </w:rPr>
        <w:t xml:space="preserve">2. Dataset Description</w:t>
      </w:r>
    </w:p>
    <w:p>
      <w:pPr>
        <w:spacing w:before="80" w:after="80" w:line="360"/>
        <w:jc w:val="both"/>
      </w:pPr>
      <w:r>
        <w:rPr>
          <w:rFonts w:ascii="Arial" w:cs="Arial" w:eastAsia="Arial" w:hAnsi="Arial"/>
          <w:sz w:val="22"/>
          <w:szCs w:val="22"/>
        </w:rPr>
        <w:t xml:space="preserve">The dataset comprises 10,000 retail banking customer records with the following attributes: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CustomerId — Unique customer identifier</w:t>
      </w:r>
    </w:p>
    <w:p>
      <w:pPr>
        <w:pStyle w:val="ListParagraph"/>
        <w:numPr>
          <w:ilvl w:val="0"/>
          <w:numId w:val="2"/>
        </w:numPr>
        <w:spacing w:before="60" w:after="60"/>
      </w:pPr>
      <w:r>
        <w:rPr>
          <w:rFonts w:ascii="Arial" w:cs="Arial" w:eastAsia="Arial" w:hAnsi="Arial"/>
          <w:sz w:val="22"/>
          <w:szCs w:val="22"/>
        </w:rPr>
        <w:t xml:space="preserve">CreditScore — Customer creditworthiness score</w:t>
      </w:r>
    </w:p>
    <w:p>
      <w:pPr>
        <w:pStyle w:val="ListParagraph"/>
        <w:numPr>
          <w:ilvl w:val="0"/>
          <w:numId w:val="2"/>
        </w:numPr>
        <w:spacing w:before="60" w:after="60"/>
      </w:pPr>
      <w:r>
        <w:rPr>
          <w:rFonts w:ascii="Arial" w:cs="Arial" w:eastAsia="Arial" w:hAnsi="Arial"/>
          <w:sz w:val="22"/>
          <w:szCs w:val="22"/>
        </w:rPr>
        <w:t xml:space="preserve">Geography — Country of residence (France, Spain, Germany)</w:t>
      </w:r>
    </w:p>
    <w:p>
      <w:pPr>
        <w:pStyle w:val="ListParagraph"/>
        <w:numPr>
          <w:ilvl w:val="0"/>
          <w:numId w:val="2"/>
        </w:numPr>
        <w:spacing w:before="60" w:after="60"/>
      </w:pPr>
      <w:r>
        <w:rPr>
          <w:rFonts w:ascii="Arial" w:cs="Arial" w:eastAsia="Arial" w:hAnsi="Arial"/>
          <w:sz w:val="22"/>
          <w:szCs w:val="22"/>
        </w:rPr>
        <w:t xml:space="preserve">Gender — Male or Female</w:t>
      </w:r>
    </w:p>
    <w:p>
      <w:pPr>
        <w:pStyle w:val="ListParagraph"/>
        <w:numPr>
          <w:ilvl w:val="0"/>
          <w:numId w:val="2"/>
        </w:numPr>
        <w:spacing w:before="60" w:after="60"/>
      </w:pPr>
      <w:r>
        <w:rPr>
          <w:rFonts w:ascii="Arial" w:cs="Arial" w:eastAsia="Arial" w:hAnsi="Arial"/>
          <w:sz w:val="22"/>
          <w:szCs w:val="22"/>
        </w:rPr>
        <w:t xml:space="preserve">Age — Customer age in years</w:t>
      </w:r>
    </w:p>
    <w:p>
      <w:pPr>
        <w:pStyle w:val="ListParagraph"/>
        <w:numPr>
          <w:ilvl w:val="0"/>
          <w:numId w:val="2"/>
        </w:numPr>
        <w:spacing w:before="60" w:after="60"/>
      </w:pPr>
      <w:r>
        <w:rPr>
          <w:rFonts w:ascii="Arial" w:cs="Arial" w:eastAsia="Arial" w:hAnsi="Arial"/>
          <w:sz w:val="22"/>
          <w:szCs w:val="22"/>
        </w:rPr>
        <w:t xml:space="preserve">Tenure — Number of years with the bank</w:t>
      </w:r>
    </w:p>
    <w:p>
      <w:pPr>
        <w:pStyle w:val="ListParagraph"/>
        <w:numPr>
          <w:ilvl w:val="0"/>
          <w:numId w:val="2"/>
        </w:numPr>
        <w:spacing w:before="60" w:after="60"/>
      </w:pPr>
      <w:r>
        <w:rPr>
          <w:rFonts w:ascii="Arial" w:cs="Arial" w:eastAsia="Arial" w:hAnsi="Arial"/>
          <w:sz w:val="22"/>
          <w:szCs w:val="22"/>
        </w:rPr>
        <w:t xml:space="preserve">Balance — Account balance in Euros</w:t>
      </w:r>
    </w:p>
    <w:p>
      <w:pPr>
        <w:pStyle w:val="ListParagraph"/>
        <w:numPr>
          <w:ilvl w:val="0"/>
          <w:numId w:val="2"/>
        </w:numPr>
        <w:spacing w:before="60" w:after="60"/>
      </w:pPr>
      <w:r>
        <w:rPr>
          <w:rFonts w:ascii="Arial" w:cs="Arial" w:eastAsia="Arial" w:hAnsi="Arial"/>
          <w:sz w:val="22"/>
          <w:szCs w:val="22"/>
        </w:rPr>
        <w:t xml:space="preserve">NumOfProducts — Number of banking products held</w:t>
      </w:r>
    </w:p>
    <w:p>
      <w:pPr>
        <w:pStyle w:val="ListParagraph"/>
        <w:numPr>
          <w:ilvl w:val="0"/>
          <w:numId w:val="2"/>
        </w:numPr>
        <w:spacing w:before="60" w:after="60"/>
      </w:pPr>
      <w:r>
        <w:rPr>
          <w:rFonts w:ascii="Arial" w:cs="Arial" w:eastAsia="Arial" w:hAnsi="Arial"/>
          <w:sz w:val="22"/>
          <w:szCs w:val="22"/>
        </w:rPr>
        <w:t xml:space="preserve">HasCrCard — Credit card ownership (binary)</w:t>
      </w:r>
    </w:p>
    <w:p>
      <w:pPr>
        <w:pStyle w:val="ListParagraph"/>
        <w:numPr>
          <w:ilvl w:val="0"/>
          <w:numId w:val="2"/>
        </w:numPr>
        <w:spacing w:before="60" w:after="60"/>
      </w:pPr>
      <w:r>
        <w:rPr>
          <w:rFonts w:ascii="Arial" w:cs="Arial" w:eastAsia="Arial" w:hAnsi="Arial"/>
          <w:sz w:val="22"/>
          <w:szCs w:val="22"/>
        </w:rPr>
        <w:t xml:space="preserve">IsActiveMember — Active membership status (binary)</w:t>
      </w:r>
    </w:p>
    <w:p>
      <w:pPr>
        <w:pStyle w:val="ListParagraph"/>
        <w:numPr>
          <w:ilvl w:val="0"/>
          <w:numId w:val="2"/>
        </w:numPr>
        <w:spacing w:before="60" w:after="60"/>
      </w:pPr>
      <w:r>
        <w:rPr>
          <w:rFonts w:ascii="Arial" w:cs="Arial" w:eastAsia="Arial" w:hAnsi="Arial"/>
          <w:sz w:val="22"/>
          <w:szCs w:val="22"/>
        </w:rPr>
        <w:t xml:space="preserve">EstimatedSalary — Estimated annual salary</w:t>
      </w:r>
    </w:p>
    <w:p>
      <w:pPr>
        <w:pStyle w:val="ListParagraph"/>
        <w:numPr>
          <w:ilvl w:val="0"/>
          <w:numId w:val="2"/>
        </w:numPr>
        <w:spacing w:before="60" w:after="60"/>
      </w:pPr>
      <w:r>
        <w:rPr>
          <w:rFonts w:ascii="Arial" w:cs="Arial" w:eastAsia="Arial" w:hAnsi="Arial"/>
          <w:sz w:val="22"/>
          <w:szCs w:val="22"/>
        </w:rPr>
        <w:t xml:space="preserve">Exited — Churn indicator (1 = churned, 0 = retained)</w:t>
      </w:r>
    </w:p>
    <w:p>
      <w:pPr>
        <w:spacing w:before="80" w:after="80"/>
      </w:pPr>
      <w:r>
        <w:t xml:space="preserve"/>
      </w:r>
    </w:p>
    <w:p>
      <w:pPr>
        <w:spacing w:before="80" w:after="80" w:line="360"/>
        <w:jc w:val="both"/>
      </w:pPr>
      <w:r>
        <w:rPr>
          <w:rFonts w:ascii="Arial" w:cs="Arial" w:eastAsia="Arial" w:hAnsi="Arial"/>
          <w:sz w:val="22"/>
          <w:szCs w:val="22"/>
        </w:rPr>
        <w:t xml:space="preserve">Four additional segmentation columns were derived during data preparation: AgeGroup, BalanceBand, CreditBand, and TenureGroup. The dataset contains no missing values or duplicate records, confirming data quality.</w:t>
      </w:r>
    </w:p>
    <w:p>
      <w:pPr>
        <w:pStyle w:val="Heading1"/>
        <w:spacing w:before="360" w:after="160"/>
      </w:pPr>
      <w:r>
        <w:rPr>
          <w:rFonts w:ascii="Arial" w:cs="Arial" w:eastAsia="Arial" w:hAnsi="Arial"/>
          <w:b/>
          <w:bCs/>
          <w:color w:val="1F4E79"/>
          <w:sz w:val="32"/>
          <w:szCs w:val="32"/>
        </w:rPr>
        <w:t xml:space="preserve">3. Analytical Methodology</w:t>
      </w:r>
    </w:p>
    <w:p>
      <w:pPr>
        <w:pStyle w:val="Heading2"/>
        <w:spacing w:before="280" w:after="120"/>
      </w:pPr>
      <w:r>
        <w:rPr>
          <w:rFonts w:ascii="Arial" w:cs="Arial" w:eastAsia="Arial" w:hAnsi="Arial"/>
          <w:b/>
          <w:bCs/>
          <w:color w:val="2E75B6"/>
          <w:sz w:val="26"/>
          <w:szCs w:val="26"/>
        </w:rPr>
        <w:t xml:space="preserve">3.1 Data Preparation</w:t>
      </w:r>
    </w:p>
    <w:p>
      <w:pPr>
        <w:spacing w:before="80" w:after="80" w:line="360"/>
        <w:jc w:val="both"/>
      </w:pPr>
      <w:r>
        <w:rPr>
          <w:rFonts w:ascii="Arial" w:cs="Arial" w:eastAsia="Arial" w:hAnsi="Arial"/>
          <w:sz w:val="22"/>
          <w:szCs w:val="22"/>
        </w:rPr>
        <w:t xml:space="preserve">The dataset was cleaned and prepared using Microsoft Excel. Non-analytical fields (Surname) were removed. Four derived segmentation columns were created using conditional formulas: AgeGroup (Under 30, 30-45, 46-60, 60+), BalanceBand (Zero Balance, Low Balance, High Balance), CreditBand (Low, Medium, High), and TenureGroup (New, Mid-term, Long-term).</w:t>
      </w:r>
    </w:p>
    <w:p>
      <w:pPr>
        <w:pStyle w:val="Heading2"/>
        <w:spacing w:before="280" w:after="120"/>
      </w:pPr>
      <w:r>
        <w:rPr>
          <w:rFonts w:ascii="Arial" w:cs="Arial" w:eastAsia="Arial" w:hAnsi="Arial"/>
          <w:b/>
          <w:bCs/>
          <w:color w:val="2E75B6"/>
          <w:sz w:val="26"/>
          <w:szCs w:val="26"/>
        </w:rPr>
        <w:t xml:space="preserve">3.2 SQL Analysis</w:t>
      </w:r>
    </w:p>
    <w:p>
      <w:pPr>
        <w:spacing w:before="80" w:after="80" w:line="360"/>
        <w:jc w:val="both"/>
      </w:pPr>
      <w:r>
        <w:rPr>
          <w:rFonts w:ascii="Arial" w:cs="Arial" w:eastAsia="Arial" w:hAnsi="Arial"/>
          <w:sz w:val="22"/>
          <w:szCs w:val="22"/>
        </w:rPr>
        <w:t xml:space="preserve">Advanced SQL queries were executed in DB Browser for SQLite to compute churn rates across all segmentation dimensions. Window functions, GROUP BY aggregations, and conditional CASE statements were used to derive segment-level insights.</w:t>
      </w:r>
    </w:p>
    <w:p>
      <w:pPr>
        <w:pStyle w:val="Heading2"/>
        <w:spacing w:before="280" w:after="120"/>
      </w:pPr>
      <w:r>
        <w:rPr>
          <w:rFonts w:ascii="Arial" w:cs="Arial" w:eastAsia="Arial" w:hAnsi="Arial"/>
          <w:b/>
          <w:bCs/>
          <w:color w:val="2E75B6"/>
          <w:sz w:val="26"/>
          <w:szCs w:val="26"/>
        </w:rPr>
        <w:t xml:space="preserve">3.3 Visualization</w:t>
      </w:r>
    </w:p>
    <w:p>
      <w:pPr>
        <w:spacing w:before="80" w:after="80" w:line="360"/>
        <w:jc w:val="both"/>
      </w:pPr>
      <w:r>
        <w:rPr>
          <w:rFonts w:ascii="Arial" w:cs="Arial" w:eastAsia="Arial" w:hAnsi="Arial"/>
          <w:sz w:val="22"/>
          <w:szCs w:val="22"/>
        </w:rPr>
        <w:t xml:space="preserve">A Power BI dashboard was developed to present findings interactively. The dashboard includes three KPI cards, five analytical charts, and dynamic slicers enabling drill-down by geography and age group.</w:t>
      </w:r>
    </w:p>
    <w:p>
      <w:r>
        <w:br w:type="page"/>
      </w:r>
    </w:p>
    <w:p>
      <w:pPr>
        <w:pStyle w:val="Heading1"/>
        <w:spacing w:before="360" w:after="160"/>
      </w:pPr>
      <w:r>
        <w:rPr>
          <w:rFonts w:ascii="Arial" w:cs="Arial" w:eastAsia="Arial" w:hAnsi="Arial"/>
          <w:b/>
          <w:bCs/>
          <w:color w:val="1F4E79"/>
          <w:sz w:val="32"/>
          <w:szCs w:val="32"/>
        </w:rPr>
        <w:t xml:space="preserve">4. Key Findings &amp; KPIs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KPI</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Insight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Overall Churn Rate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20.4%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 in 5 customers exited</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Total Churned Customers</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2,037 out of 10,000</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Significant revenue risk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Highest Churn Country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Germany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Needs targeted retention</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Highest Risk Age Group</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46-60 years</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Mid-senior customers at risk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Gender with Higher Churn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Female (55.92%)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Female customers churn more</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Highest Balance Churn</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 Balance segment</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Premium customers leaving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Inactive Member Churn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63.92% of churned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Engagement drives retention</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4.1 Overall Churn Rate</w:t>
      </w:r>
    </w:p>
    <w:p>
      <w:pPr>
        <w:spacing w:before="80" w:after="80" w:line="360"/>
        <w:jc w:val="both"/>
      </w:pPr>
      <w:r>
        <w:rPr>
          <w:rFonts w:ascii="Arial" w:cs="Arial" w:eastAsia="Arial" w:hAnsi="Arial"/>
          <w:sz w:val="22"/>
          <w:szCs w:val="22"/>
        </w:rPr>
        <w:t xml:space="preserve">The dataset reveals an overall churn rate of 20.4%, meaning 2,037 out of 10,000 customers exited the bank. This rate significantly exceeds the industry benchmark of 15%, indicating a systemic retention challenge that requires immediate strategic attention.</w:t>
      </w:r>
    </w:p>
    <w:p>
      <w:pPr>
        <w:pStyle w:val="Heading2"/>
        <w:spacing w:before="280" w:after="120"/>
      </w:pPr>
      <w:r>
        <w:rPr>
          <w:rFonts w:ascii="Arial" w:cs="Arial" w:eastAsia="Arial" w:hAnsi="Arial"/>
          <w:b/>
          <w:bCs/>
          <w:color w:val="2E75B6"/>
          <w:sz w:val="26"/>
          <w:szCs w:val="26"/>
        </w:rPr>
        <w:t xml:space="preserve">4.2 Geographic Analysis</w:t>
      </w:r>
    </w:p>
    <w:p>
      <w:pPr>
        <w:spacing w:before="80" w:after="80" w:line="360"/>
        <w:jc w:val="both"/>
      </w:pPr>
      <w:r>
        <w:rPr>
          <w:rFonts w:ascii="Arial" w:cs="Arial" w:eastAsia="Arial" w:hAnsi="Arial"/>
          <w:sz w:val="22"/>
          <w:szCs w:val="22"/>
        </w:rPr>
        <w:t xml:space="preserve">Germany exhibits the highest churn rate among the three countries at approximately 32%, compared to France at 16% and Spain at 17%. Despite having the smallest customer base, Germany contributes disproportionately to total churn. This geographic concentration suggests country-specific factors — potentially product dissatisfaction, competitive pressure from German fintech providers, or service quality issues — that warrant targeted investigation.</w:t>
      </w:r>
    </w:p>
    <w:p>
      <w:pPr>
        <w:pStyle w:val="Heading2"/>
        <w:spacing w:before="280" w:after="120"/>
      </w:pPr>
      <w:r>
        <w:rPr>
          <w:rFonts w:ascii="Arial" w:cs="Arial" w:eastAsia="Arial" w:hAnsi="Arial"/>
          <w:b/>
          <w:bCs/>
          <w:color w:val="2E75B6"/>
          <w:sz w:val="26"/>
          <w:szCs w:val="26"/>
        </w:rPr>
        <w:t xml:space="preserve">4.3 Demographic Analysis</w:t>
      </w:r>
    </w:p>
    <w:p>
      <w:pPr>
        <w:spacing w:before="80" w:after="80" w:line="360"/>
        <w:jc w:val="both"/>
      </w:pPr>
      <w:r>
        <w:rPr>
          <w:rFonts w:ascii="Arial" w:cs="Arial" w:eastAsia="Arial" w:hAnsi="Arial"/>
          <w:sz w:val="22"/>
          <w:szCs w:val="22"/>
        </w:rPr>
        <w:t xml:space="preserve">Age is the strongest demographic predictor of churn. Customers in the 46-60 age band show the highest churn rate at approximately 45%, nearly double the overall average. This segment likely represents mid-career professionals with higher financial literacy who actively compare banking offerings. Female customers churn at a higher rate (55.92% of churned customers) compared to male customers (44.08%), suggesting a potential gender-based service gap.</w:t>
      </w:r>
    </w:p>
    <w:p>
      <w:pPr>
        <w:pStyle w:val="Heading2"/>
        <w:spacing w:before="280" w:after="120"/>
      </w:pPr>
      <w:r>
        <w:rPr>
          <w:rFonts w:ascii="Arial" w:cs="Arial" w:eastAsia="Arial" w:hAnsi="Arial"/>
          <w:b/>
          <w:bCs/>
          <w:color w:val="2E75B6"/>
          <w:sz w:val="26"/>
          <w:szCs w:val="26"/>
        </w:rPr>
        <w:t xml:space="preserve">4.4 Financial Profile Analysis</w:t>
      </w:r>
    </w:p>
    <w:p>
      <w:pPr>
        <w:spacing w:before="80" w:after="80" w:line="360"/>
        <w:jc w:val="both"/>
      </w:pPr>
      <w:r>
        <w:rPr>
          <w:rFonts w:ascii="Arial" w:cs="Arial" w:eastAsia="Arial" w:hAnsi="Arial"/>
          <w:sz w:val="22"/>
          <w:szCs w:val="22"/>
        </w:rPr>
        <w:t xml:space="preserve">High Balance customers (balance above EUR 100,000) exhibit a churn rate of approximately 27%, representing the most critical revenue risk. The departure of high-balance customers has outsized impact on bank profitability compared to low-balance or zero-balance customers. Zero-balance customers show the lowest churn rate, suggesting they represent less engaged but more stable low-value relationships.</w:t>
      </w:r>
    </w:p>
    <w:p>
      <w:pPr>
        <w:pStyle w:val="Heading2"/>
        <w:spacing w:before="280" w:after="120"/>
      </w:pPr>
      <w:r>
        <w:rPr>
          <w:rFonts w:ascii="Arial" w:cs="Arial" w:eastAsia="Arial" w:hAnsi="Arial"/>
          <w:b/>
          <w:bCs/>
          <w:color w:val="2E75B6"/>
          <w:sz w:val="26"/>
          <w:szCs w:val="26"/>
        </w:rPr>
        <w:t xml:space="preserve">4.5 Engagement Analysis</w:t>
      </w:r>
    </w:p>
    <w:p>
      <w:pPr>
        <w:spacing w:before="80" w:after="80" w:line="360"/>
        <w:jc w:val="both"/>
      </w:pPr>
      <w:r>
        <w:rPr>
          <w:rFonts w:ascii="Arial" w:cs="Arial" w:eastAsia="Arial" w:hAnsi="Arial"/>
          <w:sz w:val="22"/>
          <w:szCs w:val="22"/>
        </w:rPr>
        <w:t xml:space="preserve">Inactive members account for 63.92% of churned customers, confirming that member engagement is a leading indicator of churn. Active members churn at approximately half the rate of inactive members, demonstrating the protective effect of regular product engagement on customer retention.</w:t>
      </w:r>
    </w:p>
    <w:p>
      <w:r>
        <w:br w:type="page"/>
      </w:r>
    </w:p>
    <w:p>
      <w:pPr>
        <w:pStyle w:val="Heading1"/>
        <w:spacing w:before="360" w:after="160"/>
      </w:pPr>
      <w:r>
        <w:rPr>
          <w:rFonts w:ascii="Arial" w:cs="Arial" w:eastAsia="Arial" w:hAnsi="Arial"/>
          <w:b/>
          <w:bCs/>
          <w:color w:val="1F4E79"/>
          <w:sz w:val="32"/>
          <w:szCs w:val="32"/>
        </w:rPr>
        <w:t xml:space="preserve">5. Segmentation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340"/>
            <w:tcBorders>
              <w:top w:val="single" w:color="1F4E79" w:sz="1"/>
              <w:left w:val="single" w:color="1F4E79" w:sz="1"/>
              <w:bottom w:val="single" w:color="1F4E79" w:sz="1"/>
              <w:right w:val="single" w:color="1F4E7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Segment</w:t>
            </w:r>
          </w:p>
        </w:tc>
        <w:tc>
          <w:tcPr>
            <w:tcW w:type="dxa" w:w="2340"/>
            <w:tcBorders>
              <w:top w:val="single" w:color="1F4E79" w:sz="1"/>
              <w:left w:val="single" w:color="1F4E79" w:sz="1"/>
              <w:bottom w:val="single" w:color="1F4E79" w:sz="1"/>
              <w:right w:val="single" w:color="1F4E7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2340"/>
            <w:tcBorders>
              <w:top w:val="single" w:color="1F4E79" w:sz="1"/>
              <w:left w:val="single" w:color="1F4E79" w:sz="1"/>
              <w:bottom w:val="single" w:color="1F4E79" w:sz="1"/>
              <w:right w:val="single" w:color="1F4E7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Churn Rate</w:t>
            </w:r>
          </w:p>
        </w:tc>
        <w:tc>
          <w:tcPr>
            <w:tcW w:type="dxa" w:w="2340"/>
            <w:tcBorders>
              <w:top w:val="single" w:color="1F4E79" w:sz="1"/>
              <w:left w:val="single" w:color="1F4E79" w:sz="1"/>
              <w:bottom w:val="single" w:color="1F4E79" w:sz="1"/>
              <w:right w:val="single" w:color="1F4E7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Risk Level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Geography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Germany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Geography</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France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~16%</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Low</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Geography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Spain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Low</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Age Group</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46-60 years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~45%</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Very High</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Age Group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30-45 years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Age Group</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Under 30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Low</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Balance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 Balance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Balance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Zero Balance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~14%</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Low</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Engagement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Inactive Members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Engagement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Active Members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~14%</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Low</w:t>
            </w:r>
          </w:p>
        </w:tc>
      </w:tr>
    </w:tbl>
    <w:p>
      <w:pPr>
        <w:spacing w:before="80" w:after="80"/>
      </w:pPr>
      <w:r>
        <w:t xml:space="preserve"/>
      </w:r>
    </w:p>
    <w:p>
      <w:pPr>
        <w:pStyle w:val="Heading1"/>
        <w:spacing w:before="360" w:after="160"/>
      </w:pPr>
      <w:r>
        <w:rPr>
          <w:rFonts w:ascii="Arial" w:cs="Arial" w:eastAsia="Arial" w:hAnsi="Arial"/>
          <w:b/>
          <w:bCs/>
          <w:color w:val="1F4E79"/>
          <w:sz w:val="32"/>
          <w:szCs w:val="32"/>
        </w:rPr>
        <w:t xml:space="preserve">6. Strategic Recommendations</w:t>
      </w:r>
    </w:p>
    <w:p>
      <w:pPr>
        <w:pStyle w:val="Heading2"/>
        <w:spacing w:before="280" w:after="120"/>
      </w:pPr>
      <w:r>
        <w:rPr>
          <w:rFonts w:ascii="Arial" w:cs="Arial" w:eastAsia="Arial" w:hAnsi="Arial"/>
          <w:b/>
          <w:bCs/>
          <w:color w:val="2E75B6"/>
          <w:sz w:val="26"/>
          <w:szCs w:val="26"/>
        </w:rPr>
        <w:t xml:space="preserve">6.1 Germany Retention Programme</w:t>
      </w:r>
    </w:p>
    <w:p>
      <w:pPr>
        <w:spacing w:before="80" w:after="80" w:line="360"/>
        <w:jc w:val="both"/>
      </w:pPr>
      <w:r>
        <w:rPr>
          <w:rFonts w:ascii="Arial" w:cs="Arial" w:eastAsia="Arial" w:hAnsi="Arial"/>
          <w:sz w:val="22"/>
          <w:szCs w:val="22"/>
        </w:rPr>
        <w:t xml:space="preserve">Given Germany's disproportionate churn rate of ~32%, the bank should implement a dedicated Germany retention programme. This should include targeted outreach to at-risk customers, local product customisation, and competitive benchmarking against German fintech alternatives.</w:t>
      </w:r>
    </w:p>
    <w:p>
      <w:pPr>
        <w:pStyle w:val="Heading2"/>
        <w:spacing w:before="280" w:after="120"/>
      </w:pPr>
      <w:r>
        <w:rPr>
          <w:rFonts w:ascii="Arial" w:cs="Arial" w:eastAsia="Arial" w:hAnsi="Arial"/>
          <w:b/>
          <w:bCs/>
          <w:color w:val="2E75B6"/>
          <w:sz w:val="26"/>
          <w:szCs w:val="26"/>
        </w:rPr>
        <w:t xml:space="preserve">6.2 Age-Based Engagement Strategy</w:t>
      </w:r>
    </w:p>
    <w:p>
      <w:pPr>
        <w:spacing w:before="80" w:after="80" w:line="360"/>
        <w:jc w:val="both"/>
      </w:pPr>
      <w:r>
        <w:rPr>
          <w:rFonts w:ascii="Arial" w:cs="Arial" w:eastAsia="Arial" w:hAnsi="Arial"/>
          <w:sz w:val="22"/>
          <w:szCs w:val="22"/>
        </w:rPr>
        <w:t xml:space="preserve">Customers aged 46-60 require a specialised engagement strategy. This segment responds well to personalised relationship banking, wealth management products, and long-term financial planning services. Dedicated relationship managers for this age group could significantly reduce churn.</w:t>
      </w:r>
    </w:p>
    <w:p>
      <w:pPr>
        <w:pStyle w:val="Heading2"/>
        <w:spacing w:before="280" w:after="120"/>
      </w:pPr>
      <w:r>
        <w:rPr>
          <w:rFonts w:ascii="Arial" w:cs="Arial" w:eastAsia="Arial" w:hAnsi="Arial"/>
          <w:b/>
          <w:bCs/>
          <w:color w:val="2E75B6"/>
          <w:sz w:val="26"/>
          <w:szCs w:val="26"/>
        </w:rPr>
        <w:t xml:space="preserve">6.3 High-Value Customer Protection</w:t>
      </w:r>
    </w:p>
    <w:p>
      <w:pPr>
        <w:spacing w:before="80" w:after="80" w:line="360"/>
        <w:jc w:val="both"/>
      </w:pPr>
      <w:r>
        <w:rPr>
          <w:rFonts w:ascii="Arial" w:cs="Arial" w:eastAsia="Arial" w:hAnsi="Arial"/>
          <w:sz w:val="22"/>
          <w:szCs w:val="22"/>
        </w:rPr>
        <w:t xml:space="preserve">High-balance customers represent the highest revenue risk upon departure. The bank should implement a high-value customer identification programme, offering exclusive benefits, preferential rates, and dedicated service channels to this segment. Regular proactive contact from senior relationship managers is recommended.</w:t>
      </w:r>
    </w:p>
    <w:p>
      <w:pPr>
        <w:pStyle w:val="Heading2"/>
        <w:spacing w:before="280" w:after="120"/>
      </w:pPr>
      <w:r>
        <w:rPr>
          <w:rFonts w:ascii="Arial" w:cs="Arial" w:eastAsia="Arial" w:hAnsi="Arial"/>
          <w:b/>
          <w:bCs/>
          <w:color w:val="2E75B6"/>
          <w:sz w:val="26"/>
          <w:szCs w:val="26"/>
        </w:rPr>
        <w:t xml:space="preserve">6.4 Activation Campaign for Inactive Members</w:t>
      </w:r>
    </w:p>
    <w:p>
      <w:pPr>
        <w:spacing w:before="80" w:after="80" w:line="360"/>
        <w:jc w:val="both"/>
      </w:pPr>
      <w:r>
        <w:rPr>
          <w:rFonts w:ascii="Arial" w:cs="Arial" w:eastAsia="Arial" w:hAnsi="Arial"/>
          <w:sz w:val="22"/>
          <w:szCs w:val="22"/>
        </w:rPr>
        <w:t xml:space="preserve">Since 63.92% of churned customers were inactive members, a systematic activation campaign targeting inactive accounts could deliver significant retention improvements. This could include personalised product recommendations, usage incentives, and digital engagement nudges through mobile banking applications.</w:t>
      </w:r>
    </w:p>
    <w:p>
      <w:pPr>
        <w:pStyle w:val="Heading2"/>
        <w:spacing w:before="280" w:after="120"/>
      </w:pPr>
      <w:r>
        <w:rPr>
          <w:rFonts w:ascii="Arial" w:cs="Arial" w:eastAsia="Arial" w:hAnsi="Arial"/>
          <w:b/>
          <w:bCs/>
          <w:color w:val="2E75B6"/>
          <w:sz w:val="26"/>
          <w:szCs w:val="26"/>
        </w:rPr>
        <w:t xml:space="preserve">6.5 Gender-Inclusive Product Design</w:t>
      </w:r>
    </w:p>
    <w:p>
      <w:pPr>
        <w:spacing w:before="80" w:after="80" w:line="360"/>
        <w:jc w:val="both"/>
      </w:pPr>
      <w:r>
        <w:rPr>
          <w:rFonts w:ascii="Arial" w:cs="Arial" w:eastAsia="Arial" w:hAnsi="Arial"/>
          <w:sz w:val="22"/>
          <w:szCs w:val="22"/>
        </w:rPr>
        <w:t xml:space="preserve">The higher churn rate among female customers suggests potential gaps in product relevance or service experience for this segment. The bank should conduct qualitative research with female customers to understand unmet needs and design targeted product offerings accordingly.</w:t>
      </w:r>
    </w:p>
    <w:p>
      <w:r>
        <w:br w:type="page"/>
      </w:r>
    </w:p>
    <w:p>
      <w:pPr>
        <w:pStyle w:val="Heading1"/>
        <w:spacing w:before="360" w:after="160"/>
      </w:pPr>
      <w:r>
        <w:rPr>
          <w:rFonts w:ascii="Arial" w:cs="Arial" w:eastAsia="Arial" w:hAnsi="Arial"/>
          <w:b/>
          <w:bCs/>
          <w:color w:val="1F4E79"/>
          <w:sz w:val="32"/>
          <w:szCs w:val="32"/>
        </w:rPr>
        <w:t xml:space="preserve">7. Conclusion</w:t>
      </w:r>
    </w:p>
    <w:p>
      <w:pPr>
        <w:spacing w:before="80" w:after="80" w:line="360"/>
        <w:jc w:val="both"/>
      </w:pPr>
      <w:r>
        <w:rPr>
          <w:rFonts w:ascii="Arial" w:cs="Arial" w:eastAsia="Arial" w:hAnsi="Arial"/>
          <w:sz w:val="22"/>
          <w:szCs w:val="22"/>
        </w:rPr>
        <w:t xml:space="preserve">This research demonstrates that customer churn in European banking is not uniformly distributed but is concentrated in specific, identifiable segments. Germany, customers aged 46-60, high-balance account holders, and inactive members represent the highest-risk groups and should be prioritised in retention strategy design.</w:t>
      </w:r>
    </w:p>
    <w:p>
      <w:pPr>
        <w:spacing w:before="80" w:after="80"/>
      </w:pPr>
      <w:r>
        <w:t xml:space="preserve"/>
      </w:r>
    </w:p>
    <w:p>
      <w:pPr>
        <w:spacing w:before="80" w:after="80" w:line="360"/>
        <w:jc w:val="both"/>
      </w:pPr>
      <w:r>
        <w:rPr>
          <w:rFonts w:ascii="Arial" w:cs="Arial" w:eastAsia="Arial" w:hAnsi="Arial"/>
          <w:sz w:val="22"/>
          <w:szCs w:val="22"/>
        </w:rPr>
        <w:t xml:space="preserve">The segmentation-driven approach adopted in this study enables banks to move from generic, reactive churn management to targeted, proactive retention strategies. By directing resources towards the highest-risk, highest-value segments, retail banks can significantly improve customer lifetime value and revenue stability.</w:t>
      </w:r>
    </w:p>
    <w:p>
      <w:pPr>
        <w:spacing w:before="80" w:after="80"/>
      </w:pPr>
      <w:r>
        <w:t xml:space="preserve"/>
      </w:r>
    </w:p>
    <w:p>
      <w:pPr>
        <w:spacing w:before="80" w:after="80" w:line="360"/>
        <w:jc w:val="both"/>
      </w:pPr>
      <w:r>
        <w:rPr>
          <w:rFonts w:ascii="Arial" w:cs="Arial" w:eastAsia="Arial" w:hAnsi="Arial"/>
          <w:sz w:val="22"/>
          <w:szCs w:val="22"/>
        </w:rPr>
        <w:t xml:space="preserve">Future research should incorporate machine learning models such as logistic regression and random forest classifiers to improve churn prediction accuracy, and longitudinal analysis to track the effectiveness of retention interventions over time.</w:t>
      </w:r>
    </w:p>
    <w:p>
      <w:pPr>
        <w:pStyle w:val="Heading1"/>
        <w:spacing w:before="360" w:after="160"/>
      </w:pPr>
      <w:r>
        <w:rPr>
          <w:rFonts w:ascii="Arial" w:cs="Arial" w:eastAsia="Arial" w:hAnsi="Arial"/>
          <w:b/>
          <w:bCs/>
          <w:color w:val="1F4E79"/>
          <w:sz w:val="32"/>
          <w:szCs w:val="32"/>
        </w:rPr>
        <w:t xml:space="preserve">8. References</w:t>
      </w:r>
    </w:p>
    <w:p>
      <w:pPr>
        <w:pStyle w:val="ListParagraph"/>
        <w:numPr>
          <w:ilvl w:val="0"/>
          <w:numId w:val="2"/>
        </w:numPr>
        <w:spacing w:before="60" w:after="60"/>
      </w:pPr>
      <w:r>
        <w:rPr>
          <w:rFonts w:ascii="Arial" w:cs="Arial" w:eastAsia="Arial" w:hAnsi="Arial"/>
          <w:sz w:val="22"/>
          <w:szCs w:val="22"/>
        </w:rPr>
        <w:t xml:space="preserve">European Central Bank. (2024). Financial Stability Review. Frankfurt: ECB Publications.</w:t>
      </w:r>
    </w:p>
    <w:p>
      <w:pPr>
        <w:pStyle w:val="ListParagraph"/>
        <w:numPr>
          <w:ilvl w:val="0"/>
          <w:numId w:val="2"/>
        </w:numPr>
        <w:spacing w:before="60" w:after="60"/>
      </w:pPr>
      <w:r>
        <w:rPr>
          <w:rFonts w:ascii="Arial" w:cs="Arial" w:eastAsia="Arial" w:hAnsi="Arial"/>
          <w:sz w:val="22"/>
          <w:szCs w:val="22"/>
        </w:rPr>
        <w:t xml:space="preserve">Dataset: European Bank Customer Churn Dataset — Unified Mentor Programme (2025).</w:t>
      </w:r>
    </w:p>
    <w:p>
      <w:pPr>
        <w:pStyle w:val="ListParagraph"/>
        <w:numPr>
          <w:ilvl w:val="0"/>
          <w:numId w:val="2"/>
        </w:numPr>
        <w:spacing w:before="60" w:after="60"/>
      </w:pPr>
      <w:r>
        <w:rPr>
          <w:rFonts w:ascii="Arial" w:cs="Arial" w:eastAsia="Arial" w:hAnsi="Arial"/>
          <w:sz w:val="22"/>
          <w:szCs w:val="22"/>
        </w:rPr>
        <w:t xml:space="preserve">Microsoft Power BI Documentation. (2025). Data Visualization Best Practices.</w:t>
      </w:r>
    </w:p>
    <w:p>
      <w:pPr>
        <w:pStyle w:val="ListParagraph"/>
        <w:numPr>
          <w:ilvl w:val="0"/>
          <w:numId w:val="2"/>
        </w:numPr>
        <w:spacing w:before="60" w:after="60"/>
      </w:pPr>
      <w:r>
        <w:rPr>
          <w:rFonts w:ascii="Arial" w:cs="Arial" w:eastAsia="Arial" w:hAnsi="Arial"/>
          <w:sz w:val="22"/>
          <w:szCs w:val="22"/>
        </w:rPr>
        <w:t xml:space="preserve">DB Browser for SQLite. (2025). SQLite Query Reference Manual.</w:t>
      </w:r>
    </w:p>
    <w:p>
      <w:pPr>
        <w:pStyle w:val="ListParagraph"/>
        <w:numPr>
          <w:ilvl w:val="0"/>
          <w:numId w:val="2"/>
        </w:numPr>
        <w:spacing w:before="60" w:after="60"/>
      </w:pPr>
      <w:r>
        <w:rPr>
          <w:rFonts w:ascii="Arial" w:cs="Arial" w:eastAsia="Arial" w:hAnsi="Arial"/>
          <w:sz w:val="22"/>
          <w:szCs w:val="22"/>
        </w:rPr>
        <w:t xml:space="preserve">Kotler, P. &amp; Keller, K.L. (2022). Marketing Management (16th ed.). Pearson Education.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2026-03-21T16:12:05.301Z</dcterms:created>
  <dcterms:modified xsi:type="dcterms:W3CDTF">2026-03-21T16:12:05.302Z</dcterms:modified>
</cp:coreProperties>
</file>

<file path=docProps/custom.xml><?xml version="1.0" encoding="utf-8"?>
<Properties xmlns="http://schemas.openxmlformats.org/officeDocument/2006/custom-properties" xmlns:vt="http://schemas.openxmlformats.org/officeDocument/2006/docPropsVTypes"/>
</file>