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cs="Times New Roman" w:hAnsi="Times New Roman" w:eastAsia="Times New Roman"/>
          <w:sz w:val="42"/>
          <w:szCs w:val="42"/>
        </w:rPr>
      </w:pPr>
      <w:r>
        <w:rPr>
          <w:rFonts w:ascii="Times New Roman" w:hAnsi="Times New Roman"/>
          <w:b w:val="1"/>
          <w:bCs w:val="1"/>
          <w:outline w:val="0"/>
          <w:color w:val="1f3864"/>
          <w:sz w:val="42"/>
          <w:szCs w:val="42"/>
          <w:u w:color="1f3864"/>
          <w:rtl w:val="0"/>
          <w:lang w:val="en-US"/>
          <w14:textFill>
            <w14:solidFill>
              <w14:srgbClr w14:val="1F3864"/>
            </w14:solidFill>
          </w14:textFill>
        </w:rPr>
        <w:t>Sales Forecasting &amp; Demand Intelligence</w:t>
      </w: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cs="Times New Roman" w:hAnsi="Times New Roman" w:eastAsia="Times New Roman"/>
          <w:sz w:val="21"/>
          <w:szCs w:val="21"/>
        </w:rPr>
      </w:pPr>
      <w:r>
        <w:rPr>
          <w:rFonts w:ascii="Times New Roman" w:hAnsi="Times New Roman"/>
          <w:i w:val="1"/>
          <w:iCs w:val="1"/>
          <w:outline w:val="0"/>
          <w:color w:val="595959"/>
          <w:sz w:val="21"/>
          <w:szCs w:val="21"/>
          <w:u w:color="595959"/>
          <w:rtl w:val="0"/>
          <w:lang w:val="en-US"/>
          <w14:textFill>
            <w14:solidFill>
              <w14:srgbClr w14:val="595959"/>
            </w14:solidFill>
          </w14:textFill>
        </w:rPr>
        <w:t>Executive Business Report  |  Superstore Sales Data (2015</w:t>
      </w:r>
      <w:r>
        <w:rPr>
          <w:rFonts w:ascii="Times New Roman" w:hAnsi="Times New Roman" w:hint="default"/>
          <w:i w:val="1"/>
          <w:iCs w:val="1"/>
          <w:outline w:val="0"/>
          <w:color w:val="595959"/>
          <w:sz w:val="21"/>
          <w:szCs w:val="21"/>
          <w:u w:color="595959"/>
          <w:rtl w:val="0"/>
          <w14:textFill>
            <w14:solidFill>
              <w14:srgbClr w14:val="595959"/>
            </w14:solidFill>
          </w14:textFill>
        </w:rPr>
        <w:t>–</w:t>
      </w:r>
      <w:r>
        <w:rPr>
          <w:rFonts w:ascii="Times New Roman" w:hAnsi="Times New Roman"/>
          <w:i w:val="1"/>
          <w:iCs w:val="1"/>
          <w:outline w:val="0"/>
          <w:color w:val="595959"/>
          <w:sz w:val="21"/>
          <w:szCs w:val="21"/>
          <w:u w:color="595959"/>
          <w:rtl w:val="0"/>
          <w:lang w:val="en-US"/>
          <w14:textFill>
            <w14:solidFill>
              <w14:srgbClr w14:val="595959"/>
            </w14:solidFill>
          </w14:textFill>
        </w:rPr>
        <w:t>2018)  |  Prepared July 2026</w:t>
      </w:r>
    </w:p>
    <w:p>
      <w:pPr>
        <w:pStyle w:val="Heading"/>
        <w:pBdr>
          <w:top w:val="nil"/>
          <w:left w:val="nil"/>
          <w:bottom w:val="single" w:color="2e74b5" w:sz="6" w:space="0" w:shadow="0" w:frame="0"/>
          <w:right w:val="nil"/>
        </w:pBdr>
        <w:spacing w:before="160" w:after="80"/>
      </w:pPr>
      <w:r>
        <w:rPr>
          <w:b w:val="1"/>
          <w:bCs w:val="1"/>
          <w:outline w:val="0"/>
          <w:color w:val="1f3864"/>
          <w:u w:color="1f3864"/>
          <w:rtl w:val="0"/>
          <w:lang w:val="en-US"/>
          <w14:textFill>
            <w14:solidFill>
              <w14:srgbClr w14:val="1F3864"/>
            </w14:solidFill>
          </w14:textFill>
        </w:rPr>
        <w:t>Executive Summary</w:t>
      </w:r>
    </w:p>
    <w:p>
      <w:pPr>
        <w:pStyle w:val="Heading"/>
        <w:pBdr>
          <w:top w:val="nil"/>
          <w:left w:val="nil"/>
          <w:bottom w:val="single" w:color="2e74b5" w:sz="6" w:space="0" w:shadow="0" w:frame="0"/>
          <w:right w:val="nil"/>
        </w:pBdr>
        <w:spacing w:before="160" w:after="80"/>
        <w:rPr>
          <w:sz w:val="24"/>
          <w:szCs w:val="24"/>
        </w:rPr>
      </w:pPr>
      <w:r>
        <w:rPr>
          <w:outline w:val="0"/>
          <w:color w:val="262626"/>
          <w:sz w:val="24"/>
          <w:szCs w:val="24"/>
          <w:u w:color="262626"/>
          <w:rtl w:val="0"/>
          <w:lang w:val="en-US"/>
          <w14:textFill>
            <w14:solidFill>
              <w14:srgbClr w14:val="262626"/>
            </w14:solidFill>
          </w14:textFill>
        </w:rPr>
        <w:t>This report summarizes findings from a four-year analysis (2015</w:t>
      </w:r>
      <w:r>
        <w:rPr>
          <w:outline w:val="0"/>
          <w:color w:val="262626"/>
          <w:sz w:val="24"/>
          <w:szCs w:val="24"/>
          <w:u w:color="262626"/>
          <w:rtl w:val="0"/>
          <w14:textFill>
            <w14:solidFill>
              <w14:srgbClr w14:val="262626"/>
            </w14:solidFill>
          </w14:textFill>
        </w:rPr>
        <w:t>–</w:t>
      </w:r>
      <w:r>
        <w:rPr>
          <w:outline w:val="0"/>
          <w:color w:val="262626"/>
          <w:sz w:val="24"/>
          <w:szCs w:val="24"/>
          <w:u w:color="262626"/>
          <w:rtl w:val="0"/>
          <w:lang w:val="en-US"/>
          <w14:textFill>
            <w14:solidFill>
              <w14:srgbClr w14:val="262626"/>
            </w14:solidFill>
          </w14:textFill>
        </w:rPr>
        <w:t>2018) of Superstore sales data totaling $2.26M across Technology, Furniture, and Office Supplies. Sales show a modest upward trend with strong annual seasonality, peaking every November</w:t>
      </w:r>
      <w:r>
        <w:rPr>
          <w:outline w:val="0"/>
          <w:color w:val="262626"/>
          <w:sz w:val="24"/>
          <w:szCs w:val="24"/>
          <w:u w:color="262626"/>
          <w:rtl w:val="0"/>
          <w14:textFill>
            <w14:solidFill>
              <w14:srgbClr w14:val="262626"/>
            </w14:solidFill>
          </w14:textFill>
        </w:rPr>
        <w:t>–</w:t>
      </w:r>
      <w:r>
        <w:rPr>
          <w:outline w:val="0"/>
          <w:color w:val="262626"/>
          <w:sz w:val="24"/>
          <w:szCs w:val="24"/>
          <w:u w:color="262626"/>
          <w:rtl w:val="0"/>
          <w:lang w:val="en-US"/>
          <w14:textFill>
            <w14:solidFill>
              <w14:srgbClr w14:val="262626"/>
            </w14:solidFill>
          </w14:textFill>
        </w:rPr>
        <w:t>December. Three forecasting models were benchmarked; XGBoost delivered the most accurate 3-month-ahead forecast (13.4% MAPE), projecting continued growth led by Technology. Eleven weekly sales anomalies were flagged, product demand was segmented into four actionable inventory groups, and targeted recommendations are provided below to guide Q1 2019 planning.</w:t>
      </w:r>
    </w:p>
    <w:p>
      <w:pPr>
        <w:pStyle w:val="Heading"/>
        <w:pBdr>
          <w:top w:val="nil"/>
          <w:left w:val="nil"/>
          <w:bottom w:val="single" w:color="2e74b5" w:sz="6" w:space="0" w:shadow="0" w:frame="0"/>
          <w:right w:val="nil"/>
        </w:pBdr>
        <w:spacing w:before="160" w:after="80"/>
      </w:pPr>
      <w:r>
        <w:rPr>
          <w:b w:val="1"/>
          <w:bCs w:val="1"/>
          <w:outline w:val="0"/>
          <w:color w:val="1f3864"/>
          <w:u w:color="1f3864"/>
          <w:rtl w:val="0"/>
          <w:lang w:val="en-US"/>
          <w14:textFill>
            <w14:solidFill>
              <w14:srgbClr w14:val="1F3864"/>
            </w14:solidFill>
          </w14:textFill>
        </w:rPr>
        <w:t>EDA Findings</w:t>
      </w:r>
    </w:p>
    <w:p>
      <w:pPr>
        <w:pStyle w:val="List Paragraph"/>
        <w:numPr>
          <w:ilvl w:val="0"/>
          <w:numId w:val="2"/>
        </w:numPr>
        <w:spacing w:after="30"/>
        <w:rPr>
          <w:sz w:val="22"/>
          <w:szCs w:val="22"/>
        </w:rPr>
      </w:pPr>
      <w:r>
        <w:rPr>
          <w:outline w:val="0"/>
          <w:color w:val="262626"/>
          <w:sz w:val="22"/>
          <w:szCs w:val="22"/>
          <w:u w:color="262626"/>
          <w:rtl w:val="0"/>
          <w14:textFill>
            <w14:solidFill>
              <w14:srgbClr w14:val="262626"/>
            </w14:solidFill>
          </w14:textFill>
        </w:rPr>
        <w:t>T</w:t>
      </w:r>
      <w:r>
        <w:rPr>
          <w:outline w:val="0"/>
          <w:color w:val="262626"/>
          <w:sz w:val="24"/>
          <w:szCs w:val="24"/>
          <w:u w:color="262626"/>
          <w:rtl w:val="0"/>
          <w:lang w:val="en-US"/>
          <w14:textFill>
            <w14:solidFill>
              <w14:srgbClr w14:val="262626"/>
            </w14:solidFill>
          </w14:textFill>
        </w:rPr>
        <w:t>echnology is the top revenue category ($827.5K), followed by Furniture ($728.7K) and Office Supplies ($705.4K).</w:t>
      </w:r>
    </w:p>
    <w:p>
      <w:pPr>
        <w:pStyle w:val="List Paragraph"/>
        <w:numPr>
          <w:ilvl w:val="0"/>
          <w:numId w:val="3"/>
        </w:numPr>
        <w:spacing w:after="30"/>
        <w:rPr>
          <w:sz w:val="24"/>
          <w:szCs w:val="24"/>
          <w:lang w:val="en-US"/>
        </w:rPr>
      </w:pPr>
      <w:r>
        <w:rPr>
          <w:outline w:val="0"/>
          <w:color w:val="262626"/>
          <w:sz w:val="24"/>
          <w:szCs w:val="24"/>
          <w:u w:color="262626"/>
          <w:rtl w:val="0"/>
          <w:lang w:val="en-US"/>
          <w14:textFill>
            <w14:solidFill>
              <w14:srgbClr w14:val="262626"/>
            </w14:solidFill>
          </w14:textFill>
        </w:rPr>
        <w:t>The West region consistently leads in sales across all four years; growth by region varies, with Central lagging.</w:t>
      </w:r>
    </w:p>
    <w:p>
      <w:pPr>
        <w:pStyle w:val="List Paragraph"/>
        <w:numPr>
          <w:ilvl w:val="0"/>
          <w:numId w:val="3"/>
        </w:numPr>
        <w:spacing w:after="30"/>
        <w:rPr>
          <w:sz w:val="24"/>
          <w:szCs w:val="24"/>
          <w:lang w:val="en-US"/>
        </w:rPr>
      </w:pPr>
      <w:r>
        <w:rPr>
          <w:outline w:val="0"/>
          <w:color w:val="262626"/>
          <w:sz w:val="24"/>
          <w:szCs w:val="24"/>
          <w:u w:color="262626"/>
          <w:rtl w:val="0"/>
          <w:lang w:val="en-US"/>
          <w14:textFill>
            <w14:solidFill>
              <w14:srgbClr w14:val="262626"/>
            </w14:solidFill>
          </w14:textFill>
        </w:rPr>
        <w:t>Average shipping time is ~4.0 days and fairly consistent across regions (Central slowest at 4.07 days).</w:t>
      </w:r>
    </w:p>
    <w:p>
      <w:pPr>
        <w:pStyle w:val="List Paragraph"/>
        <w:numPr>
          <w:ilvl w:val="0"/>
          <w:numId w:val="3"/>
        </w:numPr>
        <w:spacing w:after="30"/>
        <w:rPr>
          <w:sz w:val="24"/>
          <w:szCs w:val="24"/>
          <w:lang w:val="en-US"/>
        </w:rPr>
      </w:pPr>
      <w:r>
        <w:rPr>
          <w:outline w:val="0"/>
          <w:color w:val="262626"/>
          <w:sz w:val="24"/>
          <w:szCs w:val="24"/>
          <w:u w:color="262626"/>
          <w:rtl w:val="0"/>
          <w:lang w:val="en-US"/>
          <w14:textFill>
            <w14:solidFill>
              <w14:srgbClr w14:val="262626"/>
            </w14:solidFill>
          </w14:textFill>
        </w:rPr>
        <w:t>Sales are seasonal: November and December are consistently the strongest months, driven by holiday shopping.</w:t>
      </w:r>
    </w:p>
    <w:p>
      <w:pPr>
        <w:pStyle w:val="List Paragraph"/>
        <w:numPr>
          <w:ilvl w:val="0"/>
          <w:numId w:val="3"/>
        </w:numPr>
        <w:spacing w:after="30"/>
        <w:rPr>
          <w:sz w:val="24"/>
          <w:szCs w:val="24"/>
          <w:lang w:val="en-US"/>
        </w:rPr>
      </w:pPr>
      <w:r>
        <w:rPr>
          <w:outline w:val="0"/>
          <w:color w:val="262626"/>
          <w:sz w:val="24"/>
          <w:szCs w:val="24"/>
          <w:u w:color="262626"/>
          <w:rtl w:val="0"/>
          <w:lang w:val="en-US"/>
          <w14:textFill>
            <w14:solidFill>
              <w14:srgbClr w14:val="262626"/>
            </w14:solidFill>
          </w14:textFill>
        </w:rPr>
        <w:t>Seasonal decomposition confirms a gradual upward trend plus strong yearly seasonality; the raw series was non-stationary but became stationary after first-order differencing (ADF p &lt; 0.001).</w:t>
      </w:r>
    </w:p>
    <w:p>
      <w:pPr>
        <w:pStyle w:val="Heading"/>
        <w:pBdr>
          <w:top w:val="nil"/>
          <w:left w:val="nil"/>
          <w:bottom w:val="single" w:color="2e74b5" w:sz="6" w:space="0" w:shadow="0" w:frame="0"/>
          <w:right w:val="nil"/>
        </w:pBdr>
        <w:spacing w:before="160" w:after="80"/>
      </w:pPr>
      <w:r>
        <w:rPr>
          <w:b w:val="1"/>
          <w:bCs w:val="1"/>
          <w:outline w:val="0"/>
          <w:color w:val="1f3864"/>
          <w:u w:color="1f3864"/>
          <w:rtl w:val="0"/>
          <w:lang w:val="en-US"/>
          <w14:textFill>
            <w14:solidFill>
              <w14:srgbClr w14:val="1F3864"/>
            </w14:solidFill>
          </w14:textFill>
        </w:rPr>
        <w:t>Forecast Results (3-Month Horizon)</w:t>
      </w:r>
    </w:p>
    <w:p>
      <w:pPr>
        <w:pStyle w:val="Heading"/>
        <w:pBdr>
          <w:top w:val="nil"/>
          <w:left w:val="nil"/>
          <w:bottom w:val="single" w:color="2e74b5" w:sz="6" w:space="0" w:shadow="0" w:frame="0"/>
          <w:right w:val="nil"/>
        </w:pBdr>
        <w:spacing w:before="160" w:after="80"/>
        <w:rPr>
          <w:sz w:val="24"/>
          <w:szCs w:val="24"/>
        </w:rPr>
      </w:pPr>
      <w:r>
        <w:rPr>
          <w:outline w:val="0"/>
          <w:color w:val="262626"/>
          <w:sz w:val="24"/>
          <w:szCs w:val="24"/>
          <w:u w:color="262626"/>
          <w:rtl w:val="0"/>
          <w:lang w:val="en-US"/>
          <w14:textFill>
            <w14:solidFill>
              <w14:srgbClr w14:val="262626"/>
            </w14:solidFill>
          </w14:textFill>
        </w:rPr>
        <w:t>SARIMA, Prophet, and XGBoost were each trained on 45 months and validated on the final 3 months. XGBoost produced the lowest error and is recommended as the primary forecasting model going forward; SARIMA remains a useful cross-check given its explicit seasonal structure.</w:t>
      </w:r>
    </w:p>
    <w:tbl>
      <w:tblPr>
        <w:tblW w:w="86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00"/>
        <w:gridCol w:w="1000"/>
        <w:gridCol w:w="1000"/>
        <w:gridCol w:w="900"/>
        <w:gridCol w:w="1400"/>
        <w:gridCol w:w="1400"/>
        <w:gridCol w:w="1400"/>
      </w:tblGrid>
      <w:tr>
        <w:tblPrEx>
          <w:shd w:val="clear" w:color="auto" w:fill="4f81bd"/>
        </w:tblPrEx>
        <w:trPr>
          <w:trHeight w:val="175" w:hRule="atLeast"/>
          <w:tblHeader/>
        </w:trPr>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3864"/>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Calibri" w:hAnsi="Calibri"/>
                <w:b w:val="1"/>
                <w:bCs w:val="1"/>
                <w:outline w:val="0"/>
                <w:color w:val="ffffff"/>
                <w:sz w:val="16"/>
                <w:szCs w:val="16"/>
                <w:u w:color="ffffff"/>
                <w:shd w:val="nil" w:color="auto" w:fill="auto"/>
                <w:rtl w:val="0"/>
                <w14:textFill>
                  <w14:solidFill>
                    <w14:srgbClr w14:val="FFFFFF"/>
                  </w14:solidFill>
                </w14:textFill>
              </w:rPr>
              <w:t>Model</w:t>
            </w:r>
          </w:p>
        </w:tc>
        <w:tc>
          <w:tcPr>
            <w:tcW w:type="dxa" w:w="1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3864"/>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b w:val="1"/>
                <w:bCs w:val="1"/>
                <w:outline w:val="0"/>
                <w:color w:val="ffffff"/>
                <w:sz w:val="16"/>
                <w:szCs w:val="16"/>
                <w:u w:color="ffffff"/>
                <w:shd w:val="nil" w:color="auto" w:fill="auto"/>
                <w:rtl w:val="0"/>
                <w:lang w:val="de-DE"/>
                <w14:textFill>
                  <w14:solidFill>
                    <w14:srgbClr w14:val="FFFFFF"/>
                  </w14:solidFill>
                </w14:textFill>
              </w:rPr>
              <w:t>MAE</w:t>
            </w:r>
          </w:p>
        </w:tc>
        <w:tc>
          <w:tcPr>
            <w:tcW w:type="dxa" w:w="1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3864"/>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b w:val="1"/>
                <w:bCs w:val="1"/>
                <w:outline w:val="0"/>
                <w:color w:val="ffffff"/>
                <w:sz w:val="16"/>
                <w:szCs w:val="16"/>
                <w:u w:color="ffffff"/>
                <w:shd w:val="nil" w:color="auto" w:fill="auto"/>
                <w:rtl w:val="0"/>
                <w:lang w:val="de-DE"/>
                <w14:textFill>
                  <w14:solidFill>
                    <w14:srgbClr w14:val="FFFFFF"/>
                  </w14:solidFill>
                </w14:textFill>
              </w:rPr>
              <w:t>RMSE</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3864"/>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b w:val="1"/>
                <w:bCs w:val="1"/>
                <w:outline w:val="0"/>
                <w:color w:val="ffffff"/>
                <w:sz w:val="16"/>
                <w:szCs w:val="16"/>
                <w:u w:color="ffffff"/>
                <w:shd w:val="nil" w:color="auto" w:fill="auto"/>
                <w:rtl w:val="0"/>
                <w:lang w:val="de-DE"/>
                <w14:textFill>
                  <w14:solidFill>
                    <w14:srgbClr w14:val="FFFFFF"/>
                  </w14:solidFill>
                </w14:textFill>
              </w:rPr>
              <w:t>MAPE</w:t>
            </w:r>
          </w:p>
        </w:tc>
        <w:tc>
          <w:tcPr>
            <w:tcW w:type="dxa" w:w="1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3864"/>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b w:val="1"/>
                <w:bCs w:val="1"/>
                <w:outline w:val="0"/>
                <w:color w:val="ffffff"/>
                <w:sz w:val="16"/>
                <w:szCs w:val="16"/>
                <w:u w:color="ffffff"/>
                <w:shd w:val="nil" w:color="auto" w:fill="auto"/>
                <w:rtl w:val="0"/>
                <w:lang w:val="en-US"/>
                <w14:textFill>
                  <w14:solidFill>
                    <w14:srgbClr w14:val="FFFFFF"/>
                  </w14:solidFill>
                </w14:textFill>
              </w:rPr>
              <w:t>M1 Forecast</w:t>
            </w:r>
          </w:p>
        </w:tc>
        <w:tc>
          <w:tcPr>
            <w:tcW w:type="dxa" w:w="1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3864"/>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b w:val="1"/>
                <w:bCs w:val="1"/>
                <w:outline w:val="0"/>
                <w:color w:val="ffffff"/>
                <w:sz w:val="16"/>
                <w:szCs w:val="16"/>
                <w:u w:color="ffffff"/>
                <w:shd w:val="nil" w:color="auto" w:fill="auto"/>
                <w:rtl w:val="0"/>
                <w:lang w:val="en-US"/>
                <w14:textFill>
                  <w14:solidFill>
                    <w14:srgbClr w14:val="FFFFFF"/>
                  </w14:solidFill>
                </w14:textFill>
              </w:rPr>
              <w:t>M2 Forecast</w:t>
            </w:r>
          </w:p>
        </w:tc>
        <w:tc>
          <w:tcPr>
            <w:tcW w:type="dxa" w:w="1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3864"/>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b w:val="1"/>
                <w:bCs w:val="1"/>
                <w:outline w:val="0"/>
                <w:color w:val="ffffff"/>
                <w:sz w:val="16"/>
                <w:szCs w:val="16"/>
                <w:u w:color="ffffff"/>
                <w:shd w:val="nil" w:color="auto" w:fill="auto"/>
                <w:rtl w:val="0"/>
                <w:lang w:val="en-US"/>
                <w14:textFill>
                  <w14:solidFill>
                    <w14:srgbClr w14:val="FFFFFF"/>
                  </w14:solidFill>
                </w14:textFill>
              </w:rPr>
              <w:t>M3 Forecast</w:t>
            </w:r>
          </w:p>
        </w:tc>
      </w:tr>
      <w:tr>
        <w:tblPrEx>
          <w:shd w:val="clear" w:color="auto" w:fill="ced7e7"/>
        </w:tblPrEx>
        <w:trPr>
          <w:trHeight w:val="175" w:hRule="atLeast"/>
        </w:trPr>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Calibri" w:hAnsi="Calibri"/>
                <w:outline w:val="0"/>
                <w:color w:val="262626"/>
                <w:sz w:val="16"/>
                <w:szCs w:val="16"/>
                <w:u w:color="262626"/>
                <w:shd w:val="nil" w:color="auto" w:fill="auto"/>
                <w:rtl w:val="0"/>
                <w14:textFill>
                  <w14:solidFill>
                    <w14:srgbClr w14:val="262626"/>
                  </w14:solidFill>
                </w14:textFill>
              </w:rPr>
              <w:t>SARIMA</w:t>
            </w:r>
          </w:p>
        </w:tc>
        <w:tc>
          <w:tcPr>
            <w:tcW w:type="dxa" w:w="1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outline w:val="0"/>
                <w:color w:val="262626"/>
                <w:sz w:val="16"/>
                <w:szCs w:val="16"/>
                <w:u w:color="262626"/>
                <w:shd w:val="nil" w:color="auto" w:fill="auto"/>
                <w:rtl w:val="0"/>
                <w:lang w:val="en-US"/>
                <w14:textFill>
                  <w14:solidFill>
                    <w14:srgbClr w14:val="262626"/>
                  </w14:solidFill>
                </w14:textFill>
              </w:rPr>
              <w:t>18,031</w:t>
            </w:r>
          </w:p>
        </w:tc>
        <w:tc>
          <w:tcPr>
            <w:tcW w:type="dxa" w:w="1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outline w:val="0"/>
                <w:color w:val="262626"/>
                <w:sz w:val="16"/>
                <w:szCs w:val="16"/>
                <w:u w:color="262626"/>
                <w:shd w:val="nil" w:color="auto" w:fill="auto"/>
                <w:rtl w:val="0"/>
                <w14:textFill>
                  <w14:solidFill>
                    <w14:srgbClr w14:val="262626"/>
                  </w14:solidFill>
                </w14:textFill>
              </w:rPr>
              <w:t>19,009</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outline w:val="0"/>
                <w:color w:val="262626"/>
                <w:sz w:val="16"/>
                <w:szCs w:val="16"/>
                <w:u w:color="262626"/>
                <w:shd w:val="nil" w:color="auto" w:fill="auto"/>
                <w:rtl w:val="0"/>
                <w14:textFill>
                  <w14:solidFill>
                    <w14:srgbClr w14:val="262626"/>
                  </w14:solidFill>
                </w14:textFill>
              </w:rPr>
              <w:t>18.97%</w:t>
            </w:r>
          </w:p>
        </w:tc>
        <w:tc>
          <w:tcPr>
            <w:tcW w:type="dxa" w:w="1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outline w:val="0"/>
                <w:color w:val="262626"/>
                <w:sz w:val="16"/>
                <w:szCs w:val="16"/>
                <w:u w:color="262626"/>
                <w:shd w:val="nil" w:color="auto" w:fill="auto"/>
                <w:rtl w:val="0"/>
                <w14:textFill>
                  <w14:solidFill>
                    <w14:srgbClr w14:val="262626"/>
                  </w14:solidFill>
                </w14:textFill>
              </w:rPr>
              <w:t>43,492</w:t>
            </w:r>
          </w:p>
        </w:tc>
        <w:tc>
          <w:tcPr>
            <w:tcW w:type="dxa" w:w="1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outline w:val="0"/>
                <w:color w:val="262626"/>
                <w:sz w:val="16"/>
                <w:szCs w:val="16"/>
                <w:u w:color="262626"/>
                <w:shd w:val="nil" w:color="auto" w:fill="auto"/>
                <w:rtl w:val="0"/>
                <w14:textFill>
                  <w14:solidFill>
                    <w14:srgbClr w14:val="262626"/>
                  </w14:solidFill>
                </w14:textFill>
              </w:rPr>
              <w:t>34,805</w:t>
            </w:r>
          </w:p>
        </w:tc>
        <w:tc>
          <w:tcPr>
            <w:tcW w:type="dxa" w:w="1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outline w:val="0"/>
                <w:color w:val="262626"/>
                <w:sz w:val="16"/>
                <w:szCs w:val="16"/>
                <w:u w:color="262626"/>
                <w:shd w:val="nil" w:color="auto" w:fill="auto"/>
                <w:rtl w:val="0"/>
                <w14:textFill>
                  <w14:solidFill>
                    <w14:srgbClr w14:val="262626"/>
                  </w14:solidFill>
                </w14:textFill>
              </w:rPr>
              <w:t>69,907</w:t>
            </w:r>
          </w:p>
        </w:tc>
      </w:tr>
      <w:tr>
        <w:tblPrEx>
          <w:shd w:val="clear" w:color="auto" w:fill="ced7e7"/>
        </w:tblPrEx>
        <w:trPr>
          <w:trHeight w:val="175" w:hRule="atLeast"/>
        </w:trPr>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ce6f1"/>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Calibri" w:hAnsi="Calibri"/>
                <w:outline w:val="0"/>
                <w:color w:val="262626"/>
                <w:sz w:val="16"/>
                <w:szCs w:val="16"/>
                <w:u w:color="262626"/>
                <w:shd w:val="nil" w:color="auto" w:fill="auto"/>
                <w:rtl w:val="0"/>
                <w:lang w:val="de-DE"/>
                <w14:textFill>
                  <w14:solidFill>
                    <w14:srgbClr w14:val="262626"/>
                  </w14:solidFill>
                </w14:textFill>
              </w:rPr>
              <w:t>Prophet</w:t>
            </w:r>
          </w:p>
        </w:tc>
        <w:tc>
          <w:tcPr>
            <w:tcW w:type="dxa" w:w="1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ce6f1"/>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outline w:val="0"/>
                <w:color w:val="262626"/>
                <w:sz w:val="16"/>
                <w:szCs w:val="16"/>
                <w:u w:color="262626"/>
                <w:shd w:val="nil" w:color="auto" w:fill="auto"/>
                <w:rtl w:val="0"/>
                <w14:textFill>
                  <w14:solidFill>
                    <w14:srgbClr w14:val="262626"/>
                  </w14:solidFill>
                </w14:textFill>
              </w:rPr>
              <w:t>20,251</w:t>
            </w:r>
          </w:p>
        </w:tc>
        <w:tc>
          <w:tcPr>
            <w:tcW w:type="dxa" w:w="1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ce6f1"/>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outline w:val="0"/>
                <w:color w:val="262626"/>
                <w:sz w:val="16"/>
                <w:szCs w:val="16"/>
                <w:u w:color="262626"/>
                <w:shd w:val="nil" w:color="auto" w:fill="auto"/>
                <w:rtl w:val="0"/>
                <w14:textFill>
                  <w14:solidFill>
                    <w14:srgbClr w14:val="262626"/>
                  </w14:solidFill>
                </w14:textFill>
              </w:rPr>
              <w:t>22,318</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ce6f1"/>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outline w:val="0"/>
                <w:color w:val="262626"/>
                <w:sz w:val="16"/>
                <w:szCs w:val="16"/>
                <w:u w:color="262626"/>
                <w:shd w:val="nil" w:color="auto" w:fill="auto"/>
                <w:rtl w:val="0"/>
                <w14:textFill>
                  <w14:solidFill>
                    <w14:srgbClr w14:val="262626"/>
                  </w14:solidFill>
                </w14:textFill>
              </w:rPr>
              <w:t>21.86%</w:t>
            </w:r>
          </w:p>
        </w:tc>
        <w:tc>
          <w:tcPr>
            <w:tcW w:type="dxa" w:w="1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ce6f1"/>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outline w:val="0"/>
                <w:color w:val="262626"/>
                <w:sz w:val="16"/>
                <w:szCs w:val="16"/>
                <w:u w:color="262626"/>
                <w:shd w:val="nil" w:color="auto" w:fill="auto"/>
                <w:rtl w:val="0"/>
                <w14:textFill>
                  <w14:solidFill>
                    <w14:srgbClr w14:val="262626"/>
                  </w14:solidFill>
                </w14:textFill>
              </w:rPr>
              <w:t>42,991</w:t>
            </w:r>
          </w:p>
        </w:tc>
        <w:tc>
          <w:tcPr>
            <w:tcW w:type="dxa" w:w="1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ce6f1"/>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outline w:val="0"/>
                <w:color w:val="262626"/>
                <w:sz w:val="16"/>
                <w:szCs w:val="16"/>
                <w:u w:color="262626"/>
                <w:shd w:val="nil" w:color="auto" w:fill="auto"/>
                <w:rtl w:val="0"/>
                <w14:textFill>
                  <w14:solidFill>
                    <w14:srgbClr w14:val="262626"/>
                  </w14:solidFill>
                </w14:textFill>
              </w:rPr>
              <w:t>31,248</w:t>
            </w:r>
          </w:p>
        </w:tc>
        <w:tc>
          <w:tcPr>
            <w:tcW w:type="dxa" w:w="1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ce6f1"/>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outline w:val="0"/>
                <w:color w:val="262626"/>
                <w:sz w:val="16"/>
                <w:szCs w:val="16"/>
                <w:u w:color="262626"/>
                <w:shd w:val="nil" w:color="auto" w:fill="auto"/>
                <w:rtl w:val="0"/>
                <w14:textFill>
                  <w14:solidFill>
                    <w14:srgbClr w14:val="262626"/>
                  </w14:solidFill>
                </w14:textFill>
              </w:rPr>
              <w:t>81,267</w:t>
            </w:r>
          </w:p>
        </w:tc>
      </w:tr>
      <w:tr>
        <w:tblPrEx>
          <w:shd w:val="clear" w:color="auto" w:fill="ced7e7"/>
        </w:tblPrEx>
        <w:trPr>
          <w:trHeight w:val="175" w:hRule="atLeast"/>
        </w:trPr>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Calibri" w:hAnsi="Calibri"/>
                <w:b w:val="1"/>
                <w:bCs w:val="1"/>
                <w:outline w:val="0"/>
                <w:color w:val="375623"/>
                <w:sz w:val="16"/>
                <w:szCs w:val="16"/>
                <w:u w:color="375623"/>
                <w:shd w:val="nil" w:color="auto" w:fill="auto"/>
                <w:rtl w:val="0"/>
                <w:lang w:val="nl-NL"/>
                <w14:textFill>
                  <w14:solidFill>
                    <w14:srgbClr w14:val="375623"/>
                  </w14:solidFill>
                </w14:textFill>
              </w:rPr>
              <w:t>XGBoost (Best)</w:t>
            </w:r>
          </w:p>
        </w:tc>
        <w:tc>
          <w:tcPr>
            <w:tcW w:type="dxa" w:w="1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outline w:val="0"/>
                <w:color w:val="262626"/>
                <w:sz w:val="16"/>
                <w:szCs w:val="16"/>
                <w:u w:color="262626"/>
                <w:shd w:val="nil" w:color="auto" w:fill="auto"/>
                <w:rtl w:val="0"/>
                <w14:textFill>
                  <w14:solidFill>
                    <w14:srgbClr w14:val="262626"/>
                  </w14:solidFill>
                </w14:textFill>
              </w:rPr>
              <w:t>14,163</w:t>
            </w:r>
          </w:p>
        </w:tc>
        <w:tc>
          <w:tcPr>
            <w:tcW w:type="dxa" w:w="1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outline w:val="0"/>
                <w:color w:val="262626"/>
                <w:sz w:val="16"/>
                <w:szCs w:val="16"/>
                <w:u w:color="262626"/>
                <w:shd w:val="nil" w:color="auto" w:fill="auto"/>
                <w:rtl w:val="0"/>
                <w14:textFill>
                  <w14:solidFill>
                    <w14:srgbClr w14:val="262626"/>
                  </w14:solidFill>
                </w14:textFill>
              </w:rPr>
              <w:t>19,267</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outline w:val="0"/>
                <w:color w:val="262626"/>
                <w:sz w:val="16"/>
                <w:szCs w:val="16"/>
                <w:u w:color="262626"/>
                <w:shd w:val="nil" w:color="auto" w:fill="auto"/>
                <w:rtl w:val="0"/>
                <w14:textFill>
                  <w14:solidFill>
                    <w14:srgbClr w14:val="262626"/>
                  </w14:solidFill>
                </w14:textFill>
              </w:rPr>
              <w:t>13.42%</w:t>
            </w:r>
          </w:p>
        </w:tc>
        <w:tc>
          <w:tcPr>
            <w:tcW w:type="dxa" w:w="1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outline w:val="0"/>
                <w:color w:val="262626"/>
                <w:sz w:val="16"/>
                <w:szCs w:val="16"/>
                <w:u w:color="262626"/>
                <w:shd w:val="nil" w:color="auto" w:fill="auto"/>
                <w:rtl w:val="0"/>
                <w14:textFill>
                  <w14:solidFill>
                    <w14:srgbClr w14:val="262626"/>
                  </w14:solidFill>
                </w14:textFill>
              </w:rPr>
              <w:t>53,656</w:t>
            </w:r>
          </w:p>
        </w:tc>
        <w:tc>
          <w:tcPr>
            <w:tcW w:type="dxa" w:w="1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outline w:val="0"/>
                <w:color w:val="262626"/>
                <w:sz w:val="16"/>
                <w:szCs w:val="16"/>
                <w:u w:color="262626"/>
                <w:shd w:val="nil" w:color="auto" w:fill="auto"/>
                <w:rtl w:val="0"/>
                <w14:textFill>
                  <w14:solidFill>
                    <w14:srgbClr w14:val="262626"/>
                  </w14:solidFill>
                </w14:textFill>
              </w:rPr>
              <w:t>33,013</w:t>
            </w:r>
          </w:p>
        </w:tc>
        <w:tc>
          <w:tcPr>
            <w:tcW w:type="dxa" w:w="1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Calibri" w:hAnsi="Calibri"/>
                <w:outline w:val="0"/>
                <w:color w:val="262626"/>
                <w:sz w:val="16"/>
                <w:szCs w:val="16"/>
                <w:u w:color="262626"/>
                <w:shd w:val="nil" w:color="auto" w:fill="auto"/>
                <w:rtl w:val="0"/>
                <w14:textFill>
                  <w14:solidFill>
                    <w14:srgbClr w14:val="262626"/>
                  </w14:solidFill>
                </w14:textFill>
              </w:rPr>
              <w:t>59,155</w:t>
            </w:r>
          </w:p>
        </w:tc>
      </w:tr>
    </w:tbl>
    <w:p>
      <w:pPr>
        <w:pStyle w:val="Heading"/>
        <w:widowControl w:val="0"/>
        <w:spacing w:before="160" w:after="80"/>
        <w:rPr>
          <w:sz w:val="24"/>
          <w:szCs w:val="24"/>
        </w:rPr>
      </w:pPr>
    </w:p>
    <w:p>
      <w:pPr>
        <w:pStyle w:val="Heading"/>
        <w:widowControl w:val="0"/>
        <w:spacing w:before="160" w:after="80"/>
        <w:rPr>
          <w:sz w:val="24"/>
          <w:szCs w:val="24"/>
        </w:rPr>
      </w:pPr>
      <w:r>
        <w:rPr>
          <w:outline w:val="0"/>
          <w:color w:val="262626"/>
          <w:sz w:val="24"/>
          <w:szCs w:val="24"/>
          <w:u w:color="262626"/>
          <w:rtl w:val="0"/>
          <w:lang w:val="en-US"/>
          <w14:textFill>
            <w14:solidFill>
              <w14:srgbClr w14:val="262626"/>
            </w14:solidFill>
          </w14:textFill>
        </w:rPr>
        <w:t>By Category &amp; Region (SARIMA, 3-month total): Technology shows the highest expected growth, reaching ~$33.5K in month 3, ahead of Office Supplies (~$22.9K) and Furniture (~$16.8K). The West region is projected to outpace the East over the same period.</w:t>
      </w:r>
    </w:p>
    <w:p>
      <w:pPr>
        <w:pStyle w:val="Heading"/>
        <w:pBdr>
          <w:top w:val="nil"/>
          <w:left w:val="nil"/>
          <w:bottom w:val="single" w:color="2e74b5" w:sz="6" w:space="0" w:shadow="0" w:frame="0"/>
          <w:right w:val="nil"/>
        </w:pBdr>
        <w:spacing w:before="160" w:after="80"/>
      </w:pPr>
      <w:r>
        <w:rPr>
          <w:b w:val="1"/>
          <w:bCs w:val="1"/>
          <w:outline w:val="0"/>
          <w:color w:val="1f3864"/>
          <w:u w:color="1f3864"/>
          <w:rtl w:val="0"/>
          <w:lang w:val="en-US"/>
          <w14:textFill>
            <w14:solidFill>
              <w14:srgbClr w14:val="1F3864"/>
            </w14:solidFill>
          </w14:textFill>
        </w:rPr>
        <w:t>Top 3 Sales Anomalies (Isolation Forest, Weekly Data)</w:t>
      </w:r>
    </w:p>
    <w:tbl>
      <w:tblPr>
        <w:tblW w:w="86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0"/>
        <w:gridCol w:w="1600"/>
        <w:gridCol w:w="1600"/>
        <w:gridCol w:w="4700"/>
      </w:tblGrid>
      <w:tr>
        <w:tblPrEx>
          <w:shd w:val="clear" w:color="auto" w:fill="4f81bd"/>
        </w:tblPrEx>
        <w:trPr>
          <w:trHeight w:val="175" w:hRule="atLeast"/>
          <w:tblHeader/>
        </w:trPr>
        <w:tc>
          <w:tcPr>
            <w:tcW w:type="dxa" w:w="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00000"/>
            <w:tcMar>
              <w:top w:type="dxa" w:w="80"/>
              <w:left w:type="dxa" w:w="80"/>
              <w:bottom w:type="dxa" w:w="80"/>
              <w:right w:type="dxa" w:w="80"/>
            </w:tcMar>
            <w:vAlign w:val="center"/>
          </w:tcPr>
          <w:p>
            <w:pPr>
              <w:pStyle w:val="Default"/>
              <w:bidi w:val="0"/>
              <w:ind w:left="0" w:right="0" w:firstLine="0"/>
              <w:jc w:val="left"/>
              <w:rPr>
                <w:rtl w:val="0"/>
              </w:rPr>
            </w:pPr>
            <w:r>
              <w:rPr>
                <w:rFonts w:ascii="Calibri" w:hAnsi="Calibri"/>
                <w:b w:val="1"/>
                <w:bCs w:val="1"/>
                <w:outline w:val="0"/>
                <w:color w:val="ffffff"/>
                <w:sz w:val="16"/>
                <w:szCs w:val="16"/>
                <w:u w:color="ffffff"/>
                <w:shd w:val="nil" w:color="auto" w:fill="auto"/>
                <w:rtl w:val="0"/>
                <w:lang w:val="en-US"/>
                <w14:textFill>
                  <w14:solidFill>
                    <w14:srgbClr w14:val="FFFFFF"/>
                  </w14:solidFill>
                </w14:textFill>
              </w:rPr>
              <w:t>Rank</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00000"/>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Calibri" w:hAnsi="Calibri"/>
                <w:b w:val="1"/>
                <w:bCs w:val="1"/>
                <w:outline w:val="0"/>
                <w:color w:val="ffffff"/>
                <w:sz w:val="16"/>
                <w:szCs w:val="16"/>
                <w:u w:color="ffffff"/>
                <w:shd w:val="nil" w:color="auto" w:fill="auto"/>
                <w:rtl w:val="0"/>
                <w:lang w:val="nl-NL"/>
                <w14:textFill>
                  <w14:solidFill>
                    <w14:srgbClr w14:val="FFFFFF"/>
                  </w14:solidFill>
                </w14:textFill>
              </w:rPr>
              <w:t>Week Of</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00000"/>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Calibri" w:hAnsi="Calibri"/>
                <w:b w:val="1"/>
                <w:bCs w:val="1"/>
                <w:outline w:val="0"/>
                <w:color w:val="ffffff"/>
                <w:sz w:val="16"/>
                <w:szCs w:val="16"/>
                <w:u w:color="ffffff"/>
                <w:shd w:val="nil" w:color="auto" w:fill="auto"/>
                <w:rtl w:val="0"/>
                <w:lang w:val="en-US"/>
                <w14:textFill>
                  <w14:solidFill>
                    <w14:srgbClr w14:val="FFFFFF"/>
                  </w14:solidFill>
                </w14:textFill>
              </w:rPr>
              <w:t>Weekly Sales</w:t>
            </w:r>
          </w:p>
        </w:tc>
        <w:tc>
          <w:tcPr>
            <w:tcW w:type="dxa" w:w="4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00000"/>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Calibri" w:hAnsi="Calibri"/>
                <w:b w:val="1"/>
                <w:bCs w:val="1"/>
                <w:outline w:val="0"/>
                <w:color w:val="ffffff"/>
                <w:sz w:val="16"/>
                <w:szCs w:val="16"/>
                <w:u w:color="ffffff"/>
                <w:shd w:val="nil" w:color="auto" w:fill="auto"/>
                <w:rtl w:val="0"/>
                <w:lang w:val="en-US"/>
                <w14:textFill>
                  <w14:solidFill>
                    <w14:srgbClr w14:val="FFFFFF"/>
                  </w14:solidFill>
                </w14:textFill>
              </w:rPr>
              <w:t>Likely Driver</w:t>
            </w:r>
          </w:p>
        </w:tc>
      </w:tr>
      <w:tr>
        <w:tblPrEx>
          <w:shd w:val="clear" w:color="auto" w:fill="ced7e7"/>
        </w:tblPrEx>
        <w:trPr>
          <w:trHeight w:val="175" w:hRule="atLeast"/>
        </w:trPr>
        <w:tc>
          <w:tcPr>
            <w:tcW w:type="dxa" w:w="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Default"/>
              <w:bidi w:val="0"/>
              <w:ind w:left="0" w:right="0" w:firstLine="0"/>
              <w:jc w:val="left"/>
              <w:rPr>
                <w:rtl w:val="0"/>
              </w:rPr>
            </w:pPr>
            <w:r>
              <w:rPr>
                <w:rFonts w:ascii="Calibri" w:hAnsi="Calibri"/>
                <w:outline w:val="0"/>
                <w:color w:val="262626"/>
                <w:sz w:val="16"/>
                <w:szCs w:val="16"/>
                <w:u w:color="262626"/>
                <w:shd w:val="nil" w:color="auto" w:fill="auto"/>
                <w:rtl w:val="0"/>
                <w14:textFill>
                  <w14:solidFill>
                    <w14:srgbClr w14:val="262626"/>
                  </w14:solidFill>
                </w14:textFill>
              </w:rPr>
              <w:t>1</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Calibri" w:hAnsi="Calibri"/>
                <w:outline w:val="0"/>
                <w:color w:val="262626"/>
                <w:sz w:val="16"/>
                <w:szCs w:val="16"/>
                <w:u w:color="262626"/>
                <w:shd w:val="nil" w:color="auto" w:fill="auto"/>
                <w:rtl w:val="0"/>
                <w14:textFill>
                  <w14:solidFill>
                    <w14:srgbClr w14:val="262626"/>
                  </w14:solidFill>
                </w14:textFill>
              </w:rPr>
              <w:t>22 Mar 2015</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Calibri" w:hAnsi="Calibri"/>
                <w:outline w:val="0"/>
                <w:color w:val="262626"/>
                <w:sz w:val="16"/>
                <w:szCs w:val="16"/>
                <w:u w:color="262626"/>
                <w:shd w:val="nil" w:color="auto" w:fill="auto"/>
                <w:rtl w:val="0"/>
                <w:lang w:val="en-US"/>
                <w14:textFill>
                  <w14:solidFill>
                    <w14:srgbClr w14:val="262626"/>
                  </w14:solidFill>
                </w14:textFill>
              </w:rPr>
              <w:t>$37,703.67</w:t>
            </w:r>
          </w:p>
        </w:tc>
        <w:tc>
          <w:tcPr>
            <w:tcW w:type="dxa" w:w="4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Calibri" w:hAnsi="Calibri"/>
                <w:outline w:val="0"/>
                <w:color w:val="262626"/>
                <w:sz w:val="16"/>
                <w:szCs w:val="16"/>
                <w:u w:color="262626"/>
                <w:shd w:val="nil" w:color="auto" w:fill="auto"/>
                <w:rtl w:val="0"/>
                <w:lang w:val="en-US"/>
                <w14:textFill>
                  <w14:solidFill>
                    <w14:srgbClr w14:val="262626"/>
                  </w14:solidFill>
                </w14:textFill>
              </w:rPr>
              <w:t xml:space="preserve">Unseasonal spike </w:t>
            </w:r>
            <w:r>
              <w:rPr>
                <w:rFonts w:ascii="Calibri" w:hAnsi="Calibri" w:hint="default"/>
                <w:outline w:val="0"/>
                <w:color w:val="262626"/>
                <w:sz w:val="16"/>
                <w:szCs w:val="16"/>
                <w:u w:color="262626"/>
                <w:shd w:val="nil" w:color="auto" w:fill="auto"/>
                <w:rtl w:val="0"/>
                <w14:textFill>
                  <w14:solidFill>
                    <w14:srgbClr w14:val="262626"/>
                  </w14:solidFill>
                </w14:textFill>
              </w:rPr>
              <w:t xml:space="preserve">– </w:t>
            </w:r>
            <w:r>
              <w:rPr>
                <w:rFonts w:ascii="Calibri" w:hAnsi="Calibri"/>
                <w:outline w:val="0"/>
                <w:color w:val="262626"/>
                <w:sz w:val="16"/>
                <w:szCs w:val="16"/>
                <w:u w:color="262626"/>
                <w:shd w:val="nil" w:color="auto" w:fill="auto"/>
                <w:rtl w:val="0"/>
                <w:lang w:val="en-US"/>
                <w14:textFill>
                  <w14:solidFill>
                    <w14:srgbClr w14:val="262626"/>
                  </w14:solidFill>
                </w14:textFill>
              </w:rPr>
              <w:t>large one-off order or regional promotion</w:t>
            </w:r>
          </w:p>
        </w:tc>
      </w:tr>
      <w:tr>
        <w:tblPrEx>
          <w:shd w:val="clear" w:color="auto" w:fill="ced7e7"/>
        </w:tblPrEx>
        <w:trPr>
          <w:trHeight w:val="175" w:hRule="atLeast"/>
        </w:trPr>
        <w:tc>
          <w:tcPr>
            <w:tcW w:type="dxa" w:w="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ce6f1"/>
            <w:tcMar>
              <w:top w:type="dxa" w:w="80"/>
              <w:left w:type="dxa" w:w="80"/>
              <w:bottom w:type="dxa" w:w="80"/>
              <w:right w:type="dxa" w:w="80"/>
            </w:tcMar>
            <w:vAlign w:val="center"/>
          </w:tcPr>
          <w:p>
            <w:pPr>
              <w:pStyle w:val="Default"/>
              <w:bidi w:val="0"/>
              <w:ind w:left="0" w:right="0" w:firstLine="0"/>
              <w:jc w:val="left"/>
              <w:rPr>
                <w:rtl w:val="0"/>
              </w:rPr>
            </w:pPr>
            <w:r>
              <w:rPr>
                <w:rFonts w:ascii="Calibri" w:hAnsi="Calibri"/>
                <w:outline w:val="0"/>
                <w:color w:val="262626"/>
                <w:sz w:val="16"/>
                <w:szCs w:val="16"/>
                <w:u w:color="262626"/>
                <w:shd w:val="nil" w:color="auto" w:fill="auto"/>
                <w:rtl w:val="0"/>
                <w14:textFill>
                  <w14:solidFill>
                    <w14:srgbClr w14:val="262626"/>
                  </w14:solidFill>
                </w14:textFill>
              </w:rPr>
              <w:t>2</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ce6f1"/>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Calibri" w:hAnsi="Calibri"/>
                <w:outline w:val="0"/>
                <w:color w:val="262626"/>
                <w:sz w:val="16"/>
                <w:szCs w:val="16"/>
                <w:u w:color="262626"/>
                <w:shd w:val="nil" w:color="auto" w:fill="auto"/>
                <w:rtl w:val="0"/>
                <w14:textFill>
                  <w14:solidFill>
                    <w14:srgbClr w14:val="262626"/>
                  </w14:solidFill>
                </w14:textFill>
              </w:rPr>
              <w:t>02 Dec 2018</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ce6f1"/>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Calibri" w:hAnsi="Calibri"/>
                <w:outline w:val="0"/>
                <w:color w:val="262626"/>
                <w:sz w:val="16"/>
                <w:szCs w:val="16"/>
                <w:u w:color="262626"/>
                <w:shd w:val="nil" w:color="auto" w:fill="auto"/>
                <w:rtl w:val="0"/>
                <w:lang w:val="en-US"/>
                <w14:textFill>
                  <w14:solidFill>
                    <w14:srgbClr w14:val="262626"/>
                  </w14:solidFill>
                </w14:textFill>
              </w:rPr>
              <w:t>$35,998.90</w:t>
            </w:r>
          </w:p>
        </w:tc>
        <w:tc>
          <w:tcPr>
            <w:tcW w:type="dxa" w:w="4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ce6f1"/>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Calibri" w:hAnsi="Calibri"/>
                <w:outline w:val="0"/>
                <w:color w:val="262626"/>
                <w:sz w:val="16"/>
                <w:szCs w:val="16"/>
                <w:u w:color="262626"/>
                <w:shd w:val="nil" w:color="auto" w:fill="auto"/>
                <w:rtl w:val="0"/>
                <w:lang w:val="en-US"/>
                <w14:textFill>
                  <w14:solidFill>
                    <w14:srgbClr w14:val="262626"/>
                  </w14:solidFill>
                </w14:textFill>
              </w:rPr>
              <w:t>Holiday-season demand surge (pre-Christmas buying)</w:t>
            </w:r>
          </w:p>
        </w:tc>
      </w:tr>
      <w:tr>
        <w:tblPrEx>
          <w:shd w:val="clear" w:color="auto" w:fill="ced7e7"/>
        </w:tblPrEx>
        <w:trPr>
          <w:trHeight w:val="175" w:hRule="atLeast"/>
        </w:trPr>
        <w:tc>
          <w:tcPr>
            <w:tcW w:type="dxa" w:w="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Default"/>
              <w:bidi w:val="0"/>
              <w:ind w:left="0" w:right="0" w:firstLine="0"/>
              <w:jc w:val="left"/>
              <w:rPr>
                <w:rtl w:val="0"/>
              </w:rPr>
            </w:pPr>
            <w:r>
              <w:rPr>
                <w:rFonts w:ascii="Calibri" w:hAnsi="Calibri"/>
                <w:outline w:val="0"/>
                <w:color w:val="262626"/>
                <w:sz w:val="16"/>
                <w:szCs w:val="16"/>
                <w:u w:color="262626"/>
                <w:shd w:val="nil" w:color="auto" w:fill="auto"/>
                <w:rtl w:val="0"/>
                <w14:textFill>
                  <w14:solidFill>
                    <w14:srgbClr w14:val="262626"/>
                  </w14:solidFill>
                </w14:textFill>
              </w:rPr>
              <w:t>3</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Calibri" w:hAnsi="Calibri"/>
                <w:outline w:val="0"/>
                <w:color w:val="262626"/>
                <w:sz w:val="16"/>
                <w:szCs w:val="16"/>
                <w:u w:color="262626"/>
                <w:shd w:val="nil" w:color="auto" w:fill="auto"/>
                <w:rtl w:val="0"/>
                <w14:textFill>
                  <w14:solidFill>
                    <w14:srgbClr w14:val="262626"/>
                  </w14:solidFill>
                </w14:textFill>
              </w:rPr>
              <w:t>13 Sep 2015</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Calibri" w:hAnsi="Calibri"/>
                <w:outline w:val="0"/>
                <w:color w:val="262626"/>
                <w:sz w:val="16"/>
                <w:szCs w:val="16"/>
                <w:u w:color="262626"/>
                <w:shd w:val="nil" w:color="auto" w:fill="auto"/>
                <w:rtl w:val="0"/>
                <w:lang w:val="en-US"/>
                <w14:textFill>
                  <w14:solidFill>
                    <w14:srgbClr w14:val="262626"/>
                  </w14:solidFill>
                </w14:textFill>
              </w:rPr>
              <w:t>$29,959.14</w:t>
            </w:r>
          </w:p>
        </w:tc>
        <w:tc>
          <w:tcPr>
            <w:tcW w:type="dxa" w:w="4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Calibri" w:hAnsi="Calibri"/>
                <w:outline w:val="0"/>
                <w:color w:val="262626"/>
                <w:sz w:val="16"/>
                <w:szCs w:val="16"/>
                <w:u w:color="262626"/>
                <w:shd w:val="nil" w:color="auto" w:fill="auto"/>
                <w:rtl w:val="0"/>
                <w:lang w:val="en-US"/>
                <w14:textFill>
                  <w14:solidFill>
                    <w14:srgbClr w14:val="262626"/>
                  </w14:solidFill>
                </w14:textFill>
              </w:rPr>
              <w:t>Back-to-school / autumn promotional push</w:t>
            </w:r>
          </w:p>
        </w:tc>
      </w:tr>
    </w:tbl>
    <w:p>
      <w:pPr>
        <w:pStyle w:val="Heading"/>
        <w:widowControl w:val="0"/>
        <w:spacing w:before="160" w:after="80"/>
        <w:rPr>
          <w:sz w:val="24"/>
          <w:szCs w:val="24"/>
        </w:rPr>
      </w:pPr>
    </w:p>
    <w:p>
      <w:pPr>
        <w:pStyle w:val="Heading"/>
        <w:widowControl w:val="0"/>
        <w:spacing w:before="160" w:after="80"/>
        <w:rPr>
          <w:sz w:val="24"/>
          <w:szCs w:val="24"/>
        </w:rPr>
      </w:pPr>
      <w:r>
        <w:rPr>
          <w:i w:val="1"/>
          <w:iCs w:val="1"/>
          <w:outline w:val="0"/>
          <w:color w:val="595959"/>
          <w:sz w:val="24"/>
          <w:szCs w:val="24"/>
          <w:u w:color="595959"/>
          <w:rtl w:val="0"/>
          <w:lang w:val="en-US"/>
          <w14:textFill>
            <w14:solidFill>
              <w14:srgbClr w14:val="595959"/>
            </w14:solidFill>
          </w14:textFill>
        </w:rPr>
        <w:t>11 anomalous weeks were detected overall (5% contamination rate); a parallel Z-score test (&gt;2</w:t>
      </w:r>
      <w:r>
        <w:rPr>
          <w:i w:val="1"/>
          <w:iCs w:val="1"/>
          <w:outline w:val="0"/>
          <w:color w:val="595959"/>
          <w:sz w:val="24"/>
          <w:szCs w:val="24"/>
          <w:u w:color="595959"/>
          <w:rtl w:val="0"/>
          <w14:textFill>
            <w14:solidFill>
              <w14:srgbClr w14:val="595959"/>
            </w14:solidFill>
          </w14:textFill>
        </w:rPr>
        <w:t>σ</w:t>
      </w:r>
      <w:r>
        <w:rPr>
          <w:i w:val="1"/>
          <w:iCs w:val="1"/>
          <w:outline w:val="0"/>
          <w:color w:val="595959"/>
          <w:sz w:val="24"/>
          <w:szCs w:val="24"/>
          <w:u w:color="595959"/>
          <w:rtl w:val="0"/>
          <w:lang w:val="en-US"/>
          <w14:textFill>
            <w14:solidFill>
              <w14:srgbClr w14:val="595959"/>
            </w14:solidFill>
          </w14:textFill>
        </w:rPr>
        <w:t xml:space="preserve">) flagged none, indicating these are moderate, not extreme, deviations </w:t>
      </w:r>
      <w:r>
        <w:rPr>
          <w:i w:val="1"/>
          <w:iCs w:val="1"/>
          <w:outline w:val="0"/>
          <w:color w:val="595959"/>
          <w:sz w:val="24"/>
          <w:szCs w:val="24"/>
          <w:u w:color="595959"/>
          <w:rtl w:val="0"/>
          <w:lang w:val="en-US"/>
          <w14:textFill>
            <w14:solidFill>
              <w14:srgbClr w14:val="595959"/>
            </w14:solidFill>
          </w14:textFill>
        </w:rPr>
        <w:t xml:space="preserve">— </w:t>
      </w:r>
      <w:r>
        <w:rPr>
          <w:i w:val="1"/>
          <w:iCs w:val="1"/>
          <w:outline w:val="0"/>
          <w:color w:val="595959"/>
          <w:sz w:val="24"/>
          <w:szCs w:val="24"/>
          <w:u w:color="595959"/>
          <w:rtl w:val="0"/>
          <w:lang w:val="en-US"/>
          <w14:textFill>
            <w14:solidFill>
              <w14:srgbClr w14:val="595959"/>
            </w14:solidFill>
          </w14:textFill>
        </w:rPr>
        <w:t>see Risks.</w:t>
      </w:r>
    </w:p>
    <w:p>
      <w:pPr>
        <w:pStyle w:val="Heading"/>
        <w:pBdr>
          <w:top w:val="nil"/>
          <w:left w:val="nil"/>
          <w:bottom w:val="single" w:color="2e74b5" w:sz="6" w:space="0" w:shadow="0" w:frame="0"/>
          <w:right w:val="nil"/>
        </w:pBdr>
        <w:spacing w:before="160" w:after="80"/>
      </w:pPr>
      <w:r>
        <w:rPr>
          <w:b w:val="1"/>
          <w:bCs w:val="1"/>
          <w:outline w:val="0"/>
          <w:color w:val="1f3864"/>
          <w:u w:color="1f3864"/>
          <w:rtl w:val="0"/>
          <w:lang w:val="en-US"/>
          <w14:textFill>
            <w14:solidFill>
              <w14:srgbClr w14:val="1F3864"/>
            </w14:solidFill>
          </w14:textFill>
        </w:rPr>
        <w:t>Demand Segmentation (K-Means, 17 Sub-Categories)</w:t>
      </w:r>
    </w:p>
    <w:p>
      <w:pPr>
        <w:pStyle w:val="Heading"/>
        <w:pBdr>
          <w:top w:val="nil"/>
          <w:left w:val="nil"/>
          <w:bottom w:val="single" w:color="2e74b5" w:sz="6" w:space="0" w:shadow="0" w:frame="0"/>
          <w:right w:val="nil"/>
        </w:pBdr>
        <w:spacing w:before="160" w:after="80"/>
        <w:rPr>
          <w:sz w:val="24"/>
          <w:szCs w:val="24"/>
        </w:rPr>
      </w:pPr>
      <w:r>
        <w:rPr>
          <w:outline w:val="0"/>
          <w:color w:val="262626"/>
          <w:sz w:val="24"/>
          <w:szCs w:val="24"/>
          <w:u w:color="262626"/>
          <w:rtl w:val="0"/>
          <w:lang w:val="en-US"/>
          <w14:textFill>
            <w14:solidFill>
              <w14:srgbClr w14:val="262626"/>
            </w14:solidFill>
          </w14:textFill>
        </w:rPr>
        <w:t>Products were clustered on Total Sales, Average Order Value, Sales Volatility, and Growth Rate into four segments:</w:t>
      </w:r>
    </w:p>
    <w:tbl>
      <w:tblPr>
        <w:tblW w:w="86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00"/>
        <w:gridCol w:w="1600"/>
        <w:gridCol w:w="4000"/>
      </w:tblGrid>
      <w:tr>
        <w:tblPrEx>
          <w:shd w:val="clear" w:color="auto" w:fill="4f81bd"/>
        </w:tblPrEx>
        <w:trPr>
          <w:trHeight w:val="175" w:hRule="atLeast"/>
          <w:tblHeader/>
        </w:trPr>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2e74b5"/>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Calibri" w:hAnsi="Calibri"/>
                <w:b w:val="1"/>
                <w:bCs w:val="1"/>
                <w:outline w:val="0"/>
                <w:color w:val="ffffff"/>
                <w:sz w:val="16"/>
                <w:szCs w:val="16"/>
                <w:u w:color="ffffff"/>
                <w:shd w:val="nil" w:color="auto" w:fill="auto"/>
                <w:rtl w:val="0"/>
                <w:lang w:val="pt-PT"/>
                <w14:textFill>
                  <w14:solidFill>
                    <w14:srgbClr w14:val="FFFFFF"/>
                  </w14:solidFill>
                </w14:textFill>
              </w:rPr>
              <w:t>Segment</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2e74b5"/>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Calibri" w:hAnsi="Calibri"/>
                <w:b w:val="1"/>
                <w:bCs w:val="1"/>
                <w:outline w:val="0"/>
                <w:color w:val="ffffff"/>
                <w:sz w:val="16"/>
                <w:szCs w:val="16"/>
                <w:u w:color="ffffff"/>
                <w:shd w:val="nil" w:color="auto" w:fill="auto"/>
                <w:rtl w:val="0"/>
                <w:lang w:val="it-IT"/>
                <w14:textFill>
                  <w14:solidFill>
                    <w14:srgbClr w14:val="FFFFFF"/>
                  </w14:solidFill>
                </w14:textFill>
              </w:rPr>
              <w:t># Sub-Categories</w:t>
            </w:r>
          </w:p>
        </w:tc>
        <w:tc>
          <w:tcPr>
            <w:tcW w:type="dxa" w:w="4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2e74b5"/>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b w:val="1"/>
                <w:bCs w:val="1"/>
                <w:outline w:val="0"/>
                <w:color w:val="ffffff"/>
                <w:sz w:val="16"/>
                <w:szCs w:val="16"/>
                <w:u w:color="ffffff"/>
                <w:shd w:val="nil" w:color="auto" w:fill="auto"/>
                <w:rtl w:val="0"/>
                <w:lang w:val="en-US"/>
                <w14:textFill>
                  <w14:solidFill>
                    <w14:srgbClr w14:val="FFFFFF"/>
                  </w14:solidFill>
                </w14:textFill>
              </w:rPr>
              <w:t>Stocking Strategy</w:t>
            </w:r>
          </w:p>
        </w:tc>
      </w:tr>
      <w:tr>
        <w:tblPrEx>
          <w:shd w:val="clear" w:color="auto" w:fill="ced7e7"/>
        </w:tblPrEx>
        <w:trPr>
          <w:trHeight w:val="175" w:hRule="atLeast"/>
        </w:trPr>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Calibri" w:hAnsi="Calibri"/>
                <w:outline w:val="0"/>
                <w:color w:val="262626"/>
                <w:sz w:val="16"/>
                <w:szCs w:val="16"/>
                <w:u w:color="262626"/>
                <w:shd w:val="nil" w:color="auto" w:fill="auto"/>
                <w:rtl w:val="0"/>
                <w:lang w:val="en-US"/>
                <w14:textFill>
                  <w14:solidFill>
                    <w14:srgbClr w14:val="262626"/>
                  </w14:solidFill>
                </w14:textFill>
              </w:rPr>
              <w:t>Growing Demand</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Calibri" w:hAnsi="Calibri"/>
                <w:outline w:val="0"/>
                <w:color w:val="262626"/>
                <w:sz w:val="16"/>
                <w:szCs w:val="16"/>
                <w:u w:color="262626"/>
                <w:shd w:val="nil" w:color="auto" w:fill="auto"/>
                <w:rtl w:val="0"/>
                <w14:textFill>
                  <w14:solidFill>
                    <w14:srgbClr w14:val="262626"/>
                  </w14:solidFill>
                </w14:textFill>
              </w:rPr>
              <w:t>7</w:t>
            </w:r>
          </w:p>
        </w:tc>
        <w:tc>
          <w:tcPr>
            <w:tcW w:type="dxa" w:w="4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outline w:val="0"/>
                <w:color w:val="262626"/>
                <w:sz w:val="16"/>
                <w:szCs w:val="16"/>
                <w:u w:color="262626"/>
                <w:shd w:val="nil" w:color="auto" w:fill="auto"/>
                <w:rtl w:val="0"/>
                <w:lang w:val="en-US"/>
                <w14:textFill>
                  <w14:solidFill>
                    <w14:srgbClr w14:val="262626"/>
                  </w14:solidFill>
                </w14:textFill>
              </w:rPr>
              <w:t>Increase inventory gradually to meet rising demand</w:t>
            </w:r>
          </w:p>
        </w:tc>
      </w:tr>
      <w:tr>
        <w:tblPrEx>
          <w:shd w:val="clear" w:color="auto" w:fill="ced7e7"/>
        </w:tblPrEx>
        <w:trPr>
          <w:trHeight w:val="175" w:hRule="atLeast"/>
        </w:trPr>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ce6f1"/>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Calibri" w:hAnsi="Calibri"/>
                <w:outline w:val="0"/>
                <w:color w:val="262626"/>
                <w:sz w:val="16"/>
                <w:szCs w:val="16"/>
                <w:u w:color="262626"/>
                <w:shd w:val="nil" w:color="auto" w:fill="auto"/>
                <w:rtl w:val="0"/>
                <w:lang w:val="en-US"/>
                <w14:textFill>
                  <w14:solidFill>
                    <w14:srgbClr w14:val="262626"/>
                  </w14:solidFill>
                </w14:textFill>
              </w:rPr>
              <w:t>High Volume Stable</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ce6f1"/>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Calibri" w:hAnsi="Calibri"/>
                <w:outline w:val="0"/>
                <w:color w:val="262626"/>
                <w:sz w:val="16"/>
                <w:szCs w:val="16"/>
                <w:u w:color="262626"/>
                <w:shd w:val="nil" w:color="auto" w:fill="auto"/>
                <w:rtl w:val="0"/>
                <w14:textFill>
                  <w14:solidFill>
                    <w14:srgbClr w14:val="262626"/>
                  </w14:solidFill>
                </w14:textFill>
              </w:rPr>
              <w:t>5</w:t>
            </w:r>
          </w:p>
        </w:tc>
        <w:tc>
          <w:tcPr>
            <w:tcW w:type="dxa" w:w="4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ce6f1"/>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outline w:val="0"/>
                <w:color w:val="262626"/>
                <w:sz w:val="16"/>
                <w:szCs w:val="16"/>
                <w:u w:color="262626"/>
                <w:shd w:val="nil" w:color="auto" w:fill="auto"/>
                <w:rtl w:val="0"/>
                <w:lang w:val="en-US"/>
                <w14:textFill>
                  <w14:solidFill>
                    <w14:srgbClr w14:val="262626"/>
                  </w14:solidFill>
                </w14:textFill>
              </w:rPr>
              <w:t>Maintain high, steady inventory levels</w:t>
            </w:r>
          </w:p>
        </w:tc>
      </w:tr>
      <w:tr>
        <w:tblPrEx>
          <w:shd w:val="clear" w:color="auto" w:fill="ced7e7"/>
        </w:tblPrEx>
        <w:trPr>
          <w:trHeight w:val="175" w:hRule="atLeast"/>
        </w:trPr>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Calibri" w:hAnsi="Calibri"/>
                <w:outline w:val="0"/>
                <w:color w:val="262626"/>
                <w:sz w:val="16"/>
                <w:szCs w:val="16"/>
                <w:u w:color="262626"/>
                <w:shd w:val="nil" w:color="auto" w:fill="auto"/>
                <w:rtl w:val="0"/>
                <w:lang w:val="en-US"/>
                <w14:textFill>
                  <w14:solidFill>
                    <w14:srgbClr w14:val="262626"/>
                  </w14:solidFill>
                </w14:textFill>
              </w:rPr>
              <w:t>Low Volume, High Volatility</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Calibri" w:hAnsi="Calibri"/>
                <w:outline w:val="0"/>
                <w:color w:val="262626"/>
                <w:sz w:val="16"/>
                <w:szCs w:val="16"/>
                <w:u w:color="262626"/>
                <w:shd w:val="nil" w:color="auto" w:fill="auto"/>
                <w:rtl w:val="0"/>
                <w14:textFill>
                  <w14:solidFill>
                    <w14:srgbClr w14:val="262626"/>
                  </w14:solidFill>
                </w14:textFill>
              </w:rPr>
              <w:t>3</w:t>
            </w:r>
          </w:p>
        </w:tc>
        <w:tc>
          <w:tcPr>
            <w:tcW w:type="dxa" w:w="4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outline w:val="0"/>
                <w:color w:val="262626"/>
                <w:sz w:val="16"/>
                <w:szCs w:val="16"/>
                <w:u w:color="262626"/>
                <w:shd w:val="nil" w:color="auto" w:fill="auto"/>
                <w:rtl w:val="0"/>
                <w:lang w:val="en-US"/>
                <w14:textFill>
                  <w14:solidFill>
                    <w14:srgbClr w14:val="262626"/>
                  </w14:solidFill>
                </w14:textFill>
              </w:rPr>
              <w:t>Moderate stock; monitor demand weekly</w:t>
            </w:r>
          </w:p>
        </w:tc>
      </w:tr>
      <w:tr>
        <w:tblPrEx>
          <w:shd w:val="clear" w:color="auto" w:fill="ced7e7"/>
        </w:tblPrEx>
        <w:trPr>
          <w:trHeight w:val="408" w:hRule="atLeast"/>
        </w:trPr>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ce6f1"/>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Calibri" w:hAnsi="Calibri"/>
                <w:outline w:val="0"/>
                <w:color w:val="262626"/>
                <w:sz w:val="16"/>
                <w:szCs w:val="16"/>
                <w:u w:color="262626"/>
                <w:shd w:val="nil" w:color="auto" w:fill="auto"/>
                <w:rtl w:val="0"/>
                <w:lang w:val="en-US"/>
                <w14:textFill>
                  <w14:solidFill>
                    <w14:srgbClr w14:val="262626"/>
                  </w14:solidFill>
                </w14:textFill>
              </w:rPr>
              <w:t>Declining Demand</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ce6f1"/>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Calibri" w:hAnsi="Calibri"/>
                <w:outline w:val="0"/>
                <w:color w:val="262626"/>
                <w:sz w:val="16"/>
                <w:szCs w:val="16"/>
                <w:u w:color="262626"/>
                <w:shd w:val="nil" w:color="auto" w:fill="auto"/>
                <w:rtl w:val="0"/>
                <w14:textFill>
                  <w14:solidFill>
                    <w14:srgbClr w14:val="262626"/>
                  </w14:solidFill>
                </w14:textFill>
              </w:rPr>
              <w:t>2</w:t>
            </w:r>
          </w:p>
        </w:tc>
        <w:tc>
          <w:tcPr>
            <w:tcW w:type="dxa" w:w="4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ce6f1"/>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outline w:val="0"/>
                <w:color w:val="262626"/>
                <w:sz w:val="16"/>
                <w:szCs w:val="16"/>
                <w:u w:color="262626"/>
                <w:shd w:val="nil" w:color="auto" w:fill="auto"/>
                <w:rtl w:val="0"/>
                <w:lang w:val="en-US"/>
                <w14:textFill>
                  <w14:solidFill>
                    <w14:srgbClr w14:val="262626"/>
                  </w14:solidFill>
                </w14:textFill>
              </w:rPr>
              <w:t>Reduce inventory to avoid excess stock (e.g. Copiers, Machines)</w:t>
            </w:r>
          </w:p>
        </w:tc>
      </w:tr>
    </w:tbl>
    <w:p>
      <w:pPr>
        <w:pStyle w:val="Heading"/>
        <w:widowControl w:val="0"/>
        <w:spacing w:before="160" w:after="80"/>
        <w:rPr>
          <w:sz w:val="22"/>
          <w:szCs w:val="22"/>
        </w:rPr>
      </w:pPr>
    </w:p>
    <w:p>
      <w:pPr>
        <w:pStyle w:val="Heading"/>
        <w:pBdr>
          <w:top w:val="nil"/>
          <w:left w:val="nil"/>
          <w:bottom w:val="single" w:color="2e74b5" w:sz="6" w:space="0" w:shadow="0" w:frame="0"/>
          <w:right w:val="nil"/>
        </w:pBdr>
        <w:spacing w:before="160" w:after="80"/>
      </w:pPr>
      <w:r>
        <w:rPr>
          <w:b w:val="1"/>
          <w:bCs w:val="1"/>
          <w:outline w:val="0"/>
          <w:color w:val="1f3864"/>
          <w:u w:color="1f3864"/>
          <w:rtl w:val="0"/>
          <w:lang w:val="en-US"/>
          <w14:textFill>
            <w14:solidFill>
              <w14:srgbClr w14:val="1F3864"/>
            </w14:solidFill>
          </w14:textFill>
        </w:rPr>
        <w:t>Business Recommendations</w:t>
      </w:r>
    </w:p>
    <w:p>
      <w:pPr>
        <w:pStyle w:val="List Paragraph"/>
        <w:numPr>
          <w:ilvl w:val="0"/>
          <w:numId w:val="2"/>
        </w:numPr>
        <w:spacing w:after="30"/>
        <w:rPr>
          <w:sz w:val="22"/>
          <w:szCs w:val="22"/>
        </w:rPr>
      </w:pPr>
      <w:r>
        <w:rPr>
          <w:outline w:val="0"/>
          <w:color w:val="262626"/>
          <w:sz w:val="22"/>
          <w:szCs w:val="22"/>
          <w:u w:color="262626"/>
          <w:rtl w:val="0"/>
          <w14:textFill>
            <w14:solidFill>
              <w14:srgbClr w14:val="262626"/>
            </w14:solidFill>
          </w14:textFill>
        </w:rPr>
        <w:t>P</w:t>
      </w:r>
      <w:r>
        <w:rPr>
          <w:outline w:val="0"/>
          <w:color w:val="262626"/>
          <w:sz w:val="24"/>
          <w:szCs w:val="24"/>
          <w:u w:color="262626"/>
          <w:rtl w:val="0"/>
          <w:lang w:val="en-US"/>
          <w14:textFill>
            <w14:solidFill>
              <w14:srgbClr w14:val="262626"/>
            </w14:solidFill>
          </w14:textFill>
        </w:rPr>
        <w:t>rioritize Technology for inventory and marketing investment given its highest revenue and forecasted growth.</w:t>
      </w:r>
    </w:p>
    <w:p>
      <w:pPr>
        <w:pStyle w:val="List Paragraph"/>
        <w:numPr>
          <w:ilvl w:val="0"/>
          <w:numId w:val="3"/>
        </w:numPr>
        <w:spacing w:after="30"/>
        <w:rPr>
          <w:sz w:val="24"/>
          <w:szCs w:val="24"/>
          <w:lang w:val="en-US"/>
        </w:rPr>
      </w:pPr>
      <w:r>
        <w:rPr>
          <w:outline w:val="0"/>
          <w:color w:val="262626"/>
          <w:sz w:val="24"/>
          <w:szCs w:val="24"/>
          <w:u w:color="262626"/>
          <w:rtl w:val="0"/>
          <w:lang w:val="en-US"/>
          <w14:textFill>
            <w14:solidFill>
              <w14:srgbClr w14:val="262626"/>
            </w14:solidFill>
          </w14:textFill>
        </w:rPr>
        <w:t>Adopt XGBoost as the operational forecasting model; retain SARIMA as a seasonal sanity-check.</w:t>
      </w:r>
    </w:p>
    <w:p>
      <w:pPr>
        <w:pStyle w:val="List Paragraph"/>
        <w:numPr>
          <w:ilvl w:val="0"/>
          <w:numId w:val="3"/>
        </w:numPr>
        <w:spacing w:after="30"/>
        <w:rPr>
          <w:sz w:val="24"/>
          <w:szCs w:val="24"/>
          <w:lang w:val="en-US"/>
        </w:rPr>
      </w:pPr>
      <w:r>
        <w:rPr>
          <w:outline w:val="0"/>
          <w:color w:val="262626"/>
          <w:sz w:val="24"/>
          <w:szCs w:val="24"/>
          <w:u w:color="262626"/>
          <w:rtl w:val="0"/>
          <w:lang w:val="en-US"/>
          <w14:textFill>
            <w14:solidFill>
              <w14:srgbClr w14:val="262626"/>
            </w14:solidFill>
          </w14:textFill>
        </w:rPr>
        <w:t>Build up inventory ahead of the November</w:t>
      </w:r>
      <w:r>
        <w:rPr>
          <w:outline w:val="0"/>
          <w:color w:val="262626"/>
          <w:sz w:val="24"/>
          <w:szCs w:val="24"/>
          <w:u w:color="262626"/>
          <w:rtl w:val="0"/>
          <w14:textFill>
            <w14:solidFill>
              <w14:srgbClr w14:val="262626"/>
            </w14:solidFill>
          </w14:textFill>
        </w:rPr>
        <w:t>–</w:t>
      </w:r>
      <w:r>
        <w:rPr>
          <w:outline w:val="0"/>
          <w:color w:val="262626"/>
          <w:sz w:val="24"/>
          <w:szCs w:val="24"/>
          <w:u w:color="262626"/>
          <w:rtl w:val="0"/>
          <w:lang w:val="en-US"/>
          <w14:textFill>
            <w14:solidFill>
              <w14:srgbClr w14:val="262626"/>
            </w14:solidFill>
          </w14:textFill>
        </w:rPr>
        <w:t>December peak, especially for Growing Demand and High Volume Stable sub-categories.</w:t>
      </w:r>
    </w:p>
    <w:p>
      <w:pPr>
        <w:pStyle w:val="List Paragraph"/>
        <w:numPr>
          <w:ilvl w:val="0"/>
          <w:numId w:val="3"/>
        </w:numPr>
        <w:spacing w:after="30"/>
        <w:rPr>
          <w:sz w:val="24"/>
          <w:szCs w:val="24"/>
          <w:lang w:val="en-US"/>
        </w:rPr>
      </w:pPr>
      <w:r>
        <w:rPr>
          <w:outline w:val="0"/>
          <w:color w:val="262626"/>
          <w:sz w:val="24"/>
          <w:szCs w:val="24"/>
          <w:u w:color="262626"/>
          <w:rtl w:val="0"/>
          <w:lang w:val="en-US"/>
          <w14:textFill>
            <w14:solidFill>
              <w14:srgbClr w14:val="262626"/>
            </w14:solidFill>
          </w14:textFill>
        </w:rPr>
        <w:t>Wind down stock for Declining Demand items (Copiers, Machines) to reduce holding costs.</w:t>
      </w:r>
    </w:p>
    <w:p>
      <w:pPr>
        <w:pStyle w:val="List Paragraph"/>
        <w:numPr>
          <w:ilvl w:val="0"/>
          <w:numId w:val="3"/>
        </w:numPr>
        <w:spacing w:after="30"/>
        <w:rPr>
          <w:sz w:val="24"/>
          <w:szCs w:val="24"/>
          <w:lang w:val="en-US"/>
        </w:rPr>
      </w:pPr>
      <w:r>
        <w:rPr>
          <w:outline w:val="0"/>
          <w:color w:val="262626"/>
          <w:sz w:val="24"/>
          <w:szCs w:val="24"/>
          <w:u w:color="262626"/>
          <w:rtl w:val="0"/>
          <w:lang w:val="en-US"/>
          <w14:textFill>
            <w14:solidFill>
              <w14:srgbClr w14:val="262626"/>
            </w14:solidFill>
          </w14:textFill>
        </w:rPr>
        <w:t xml:space="preserve">Formalize a holiday promotion calendar </w:t>
      </w:r>
      <w:r>
        <w:rPr>
          <w:outline w:val="0"/>
          <w:color w:val="262626"/>
          <w:sz w:val="24"/>
          <w:szCs w:val="24"/>
          <w:u w:color="262626"/>
          <w:rtl w:val="0"/>
          <w:lang w:val="en-US"/>
          <w14:textFill>
            <w14:solidFill>
              <w14:srgbClr w14:val="262626"/>
            </w14:solidFill>
          </w14:textFill>
        </w:rPr>
        <w:t xml:space="preserve">— </w:t>
      </w:r>
      <w:r>
        <w:rPr>
          <w:outline w:val="0"/>
          <w:color w:val="262626"/>
          <w:sz w:val="24"/>
          <w:szCs w:val="24"/>
          <w:u w:color="262626"/>
          <w:rtl w:val="0"/>
          <w:lang w:val="en-US"/>
          <w14:textFill>
            <w14:solidFill>
              <w14:srgbClr w14:val="262626"/>
            </w14:solidFill>
          </w14:textFill>
        </w:rPr>
        <w:t>recurring late-year spikes suggest campaigns are effective and repeatable.</w:t>
      </w:r>
    </w:p>
    <w:p>
      <w:pPr>
        <w:pStyle w:val="List Paragraph"/>
        <w:numPr>
          <w:ilvl w:val="0"/>
          <w:numId w:val="3"/>
        </w:numPr>
        <w:spacing w:after="30"/>
        <w:rPr>
          <w:sz w:val="24"/>
          <w:szCs w:val="24"/>
          <w:lang w:val="en-US"/>
        </w:rPr>
      </w:pPr>
      <w:r>
        <w:rPr>
          <w:outline w:val="0"/>
          <w:color w:val="262626"/>
          <w:sz w:val="24"/>
          <w:szCs w:val="24"/>
          <w:u w:color="262626"/>
          <w:rtl w:val="0"/>
          <w:lang w:val="en-US"/>
          <w14:textFill>
            <w14:solidFill>
              <w14:srgbClr w14:val="262626"/>
            </w14:solidFill>
          </w14:textFill>
        </w:rPr>
        <w:t>Monitor Low Volume, High Volatility sub-categories weekly rather than committing to fixed stocking levels.</w:t>
      </w:r>
    </w:p>
    <w:p>
      <w:pPr>
        <w:pStyle w:val="Heading"/>
        <w:pBdr>
          <w:top w:val="nil"/>
          <w:left w:val="nil"/>
          <w:bottom w:val="single" w:color="2e74b5" w:sz="6" w:space="0" w:shadow="0" w:frame="0"/>
          <w:right w:val="nil"/>
        </w:pBdr>
        <w:spacing w:before="160" w:after="80"/>
      </w:pPr>
      <w:r>
        <w:rPr>
          <w:b w:val="1"/>
          <w:bCs w:val="1"/>
          <w:outline w:val="0"/>
          <w:color w:val="1f3864"/>
          <w:u w:color="1f3864"/>
          <w:rtl w:val="0"/>
          <w:lang w:val="en-US"/>
          <w14:textFill>
            <w14:solidFill>
              <w14:srgbClr w14:val="1F3864"/>
            </w14:solidFill>
          </w14:textFill>
        </w:rPr>
        <w:t>Risks &amp; Limitations</w:t>
      </w:r>
    </w:p>
    <w:p>
      <w:pPr>
        <w:pStyle w:val="List Paragraph"/>
        <w:numPr>
          <w:ilvl w:val="0"/>
          <w:numId w:val="3"/>
        </w:numPr>
        <w:spacing w:after="30"/>
        <w:rPr>
          <w:sz w:val="24"/>
          <w:szCs w:val="24"/>
          <w:lang w:val="en-US"/>
        </w:rPr>
      </w:pPr>
      <w:r>
        <w:rPr>
          <w:outline w:val="0"/>
          <w:color w:val="262626"/>
          <w:sz w:val="24"/>
          <w:szCs w:val="24"/>
          <w:u w:color="262626"/>
          <w:rtl w:val="0"/>
          <w:lang w:val="en-US"/>
          <w14:textFill>
            <w14:solidFill>
              <w14:srgbClr w14:val="262626"/>
            </w14:solidFill>
          </w14:textFill>
        </w:rPr>
        <w:t>Only 45</w:t>
      </w:r>
      <w:r>
        <w:rPr>
          <w:outline w:val="0"/>
          <w:color w:val="262626"/>
          <w:sz w:val="24"/>
          <w:szCs w:val="24"/>
          <w:u w:color="262626"/>
          <w:rtl w:val="0"/>
          <w14:textFill>
            <w14:solidFill>
              <w14:srgbClr w14:val="262626"/>
            </w14:solidFill>
          </w14:textFill>
        </w:rPr>
        <w:t>–</w:t>
      </w:r>
      <w:r>
        <w:rPr>
          <w:outline w:val="0"/>
          <w:color w:val="262626"/>
          <w:sz w:val="24"/>
          <w:szCs w:val="24"/>
          <w:u w:color="262626"/>
          <w:rtl w:val="0"/>
          <w:lang w:val="en-US"/>
          <w14:textFill>
            <w14:solidFill>
              <w14:srgbClr w14:val="262626"/>
            </w14:solidFill>
          </w14:textFill>
        </w:rPr>
        <w:t>48 months of monthly data were available; models were validated on just 3 held-out months, so error estimates carry meaningful uncertainty.</w:t>
      </w:r>
    </w:p>
    <w:p>
      <w:pPr>
        <w:pStyle w:val="List Paragraph"/>
        <w:numPr>
          <w:ilvl w:val="0"/>
          <w:numId w:val="3"/>
        </w:numPr>
        <w:spacing w:after="30"/>
        <w:rPr>
          <w:sz w:val="24"/>
          <w:szCs w:val="24"/>
          <w:lang w:val="en-US"/>
        </w:rPr>
      </w:pPr>
      <w:r>
        <w:rPr>
          <w:outline w:val="0"/>
          <w:color w:val="262626"/>
          <w:sz w:val="24"/>
          <w:szCs w:val="24"/>
          <w:u w:color="262626"/>
          <w:rtl w:val="0"/>
          <w:lang w:val="en-US"/>
          <w14:textFill>
            <w14:solidFill>
              <w14:srgbClr w14:val="262626"/>
            </w14:solidFill>
          </w14:textFill>
        </w:rPr>
        <w:t>Forecast error remains material (13</w:t>
      </w:r>
      <w:r>
        <w:rPr>
          <w:outline w:val="0"/>
          <w:color w:val="262626"/>
          <w:sz w:val="24"/>
          <w:szCs w:val="24"/>
          <w:u w:color="262626"/>
          <w:rtl w:val="0"/>
          <w14:textFill>
            <w14:solidFill>
              <w14:srgbClr w14:val="262626"/>
            </w14:solidFill>
          </w14:textFill>
        </w:rPr>
        <w:t>–</w:t>
      </w:r>
      <w:r>
        <w:rPr>
          <w:outline w:val="0"/>
          <w:color w:val="262626"/>
          <w:sz w:val="24"/>
          <w:szCs w:val="24"/>
          <w:u w:color="262626"/>
          <w:rtl w:val="0"/>
          <w:lang w:val="en-US"/>
          <w14:textFill>
            <w14:solidFill>
              <w14:srgbClr w14:val="262626"/>
            </w14:solidFill>
          </w14:textFill>
        </w:rPr>
        <w:t>22% MAPE); SARIMA's own confidence interval for February 2019 includes values near zero.</w:t>
      </w:r>
    </w:p>
    <w:p>
      <w:pPr>
        <w:pStyle w:val="List Paragraph"/>
        <w:numPr>
          <w:ilvl w:val="0"/>
          <w:numId w:val="3"/>
        </w:numPr>
        <w:spacing w:after="30"/>
        <w:rPr>
          <w:sz w:val="24"/>
          <w:szCs w:val="24"/>
          <w:lang w:val="en-US"/>
        </w:rPr>
      </w:pPr>
      <w:r>
        <w:rPr>
          <w:outline w:val="0"/>
          <w:color w:val="262626"/>
          <w:sz w:val="24"/>
          <w:szCs w:val="24"/>
          <w:u w:color="262626"/>
          <w:rtl w:val="0"/>
          <w:lang w:val="en-US"/>
          <w14:textFill>
            <w14:solidFill>
              <w14:srgbClr w14:val="262626"/>
            </w14:solidFill>
          </w14:textFill>
        </w:rPr>
        <w:t>Anomaly-detection methods disagree (Isolation Forest: 11 vs. Z-score: 0), so flagged anomalies should be reviewed manually before acting on them.</w:t>
      </w:r>
    </w:p>
    <w:p>
      <w:pPr>
        <w:pStyle w:val="List Paragraph"/>
        <w:numPr>
          <w:ilvl w:val="0"/>
          <w:numId w:val="3"/>
        </w:numPr>
        <w:spacing w:after="30"/>
        <w:rPr>
          <w:sz w:val="24"/>
          <w:szCs w:val="24"/>
          <w:lang w:val="en-US"/>
        </w:rPr>
      </w:pPr>
      <w:r>
        <w:rPr>
          <w:outline w:val="0"/>
          <w:color w:val="262626"/>
          <w:sz w:val="24"/>
          <w:szCs w:val="24"/>
          <w:u w:color="262626"/>
          <w:rtl w:val="0"/>
          <w:lang w:val="en-US"/>
          <w14:textFill>
            <w14:solidFill>
              <w14:srgbClr w14:val="262626"/>
            </w14:solidFill>
          </w14:textFill>
        </w:rPr>
        <w:t>Growth Rate in the segmentation is based on only the first vs. last month per sub-category, making it sensitive to single-month noise.</w:t>
      </w:r>
    </w:p>
    <w:p>
      <w:pPr>
        <w:pStyle w:val="List Paragraph"/>
        <w:numPr>
          <w:ilvl w:val="0"/>
          <w:numId w:val="4"/>
        </w:numPr>
        <w:spacing w:after="30"/>
        <w:rPr>
          <w:sz w:val="24"/>
          <w:szCs w:val="24"/>
          <w:lang w:val="en-US"/>
        </w:rPr>
      </w:pPr>
      <w:r>
        <w:rPr>
          <w:outline w:val="0"/>
          <w:color w:val="262626"/>
          <w:sz w:val="24"/>
          <w:szCs w:val="24"/>
          <w:u w:color="262626"/>
          <w:rtl w:val="0"/>
          <w:lang w:val="en-US"/>
          <w14:textFill>
            <w14:solidFill>
              <w14:srgbClr w14:val="262626"/>
            </w14:solidFill>
          </w14:textFill>
        </w:rPr>
        <w:t>None of the models incorporate ext</w:t>
      </w:r>
      <w:r>
        <w:rPr>
          <w:outline w:val="0"/>
          <w:color w:val="262626"/>
          <w:sz w:val="22"/>
          <w:szCs w:val="22"/>
          <w:u w:color="262626"/>
          <w:rtl w:val="0"/>
          <w:lang w:val="en-US"/>
          <w14:textFill>
            <w14:solidFill>
              <w14:srgbClr w14:val="262626"/>
            </w14:solidFill>
          </w14:textFill>
        </w:rPr>
        <w:t>ernal drivers (promotions, pricing, macroeconomic conditions), which likely explains part of the residual error.</w:t>
      </w:r>
    </w:p>
    <w:sectPr>
      <w:headerReference w:type="default" r:id="rId4"/>
      <w:footerReference w:type="default" r:id="rId5"/>
      <w:pgSz w:w="12240" w:h="15840" w:orient="portrait"/>
      <w:pgMar w:top="720" w:right="810" w:bottom="720" w:left="81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mbria Bold">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60" w:hanging="40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1">
      <w:start w:val="1"/>
      <w:numFmt w:val="bullet"/>
      <w:suff w:val="tab"/>
      <w:lvlText w:val="○"/>
      <w:lvlJc w:val="left"/>
      <w:pPr>
        <w:ind w:left="1520" w:hanging="44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2">
      <w:start w:val="1"/>
      <w:numFmt w:val="bullet"/>
      <w:suff w:val="tab"/>
      <w:lvlText w:val="■"/>
      <w:lvlJc w:val="left"/>
      <w:pPr>
        <w:ind w:left="2240" w:hanging="44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3">
      <w:start w:val="1"/>
      <w:numFmt w:val="bullet"/>
      <w:suff w:val="tab"/>
      <w:lvlText w:val="●"/>
      <w:lvlJc w:val="left"/>
      <w:pPr>
        <w:ind w:left="2960" w:hanging="44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4">
      <w:start w:val="1"/>
      <w:numFmt w:val="bullet"/>
      <w:suff w:val="tab"/>
      <w:lvlText w:val="○"/>
      <w:lvlJc w:val="left"/>
      <w:pPr>
        <w:ind w:left="3680" w:hanging="44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5">
      <w:start w:val="1"/>
      <w:numFmt w:val="bullet"/>
      <w:suff w:val="tab"/>
      <w:lvlText w:val="■"/>
      <w:lvlJc w:val="left"/>
      <w:pPr>
        <w:ind w:left="4400" w:hanging="44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6">
      <w:start w:val="1"/>
      <w:numFmt w:val="bullet"/>
      <w:suff w:val="tab"/>
      <w:lvlText w:val="●"/>
      <w:lvlJc w:val="left"/>
      <w:pPr>
        <w:ind w:left="5120" w:hanging="44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7">
      <w:start w:val="1"/>
      <w:numFmt w:val="bullet"/>
      <w:suff w:val="tab"/>
      <w:lvlText w:val="●"/>
      <w:lvlJc w:val="left"/>
      <w:pPr>
        <w:ind w:left="5840" w:hanging="44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8">
      <w:start w:val="1"/>
      <w:numFmt w:val="bullet"/>
      <w:suff w:val="tab"/>
      <w:lvlText w:val="●"/>
      <w:lvlJc w:val="left"/>
      <w:pPr>
        <w:ind w:left="6560" w:hanging="440"/>
      </w:pPr>
      <w:rPr>
        <w:rFonts w:hAnsi="Arial Unicode MS"/>
        <w:caps w:val="0"/>
        <w:smallCaps w:val="0"/>
        <w:strike w:val="0"/>
        <w:dstrike w:val="0"/>
        <w:outline w:val="0"/>
        <w:emboss w:val="0"/>
        <w:imprint w:val="0"/>
        <w:spacing w:val="0"/>
        <w:w w:val="100"/>
        <w:kern w:val="0"/>
        <w:position w:val="0"/>
        <w:sz w:val="24"/>
        <w:szCs w:val="24"/>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760" w:hanging="400"/>
        </w:pPr>
        <w:rPr>
          <w:rFonts w:hAnsi="Arial Unicode MS"/>
          <w:caps w:val="0"/>
          <w:smallCaps w:val="0"/>
          <w:strike w:val="0"/>
          <w:dstrike w:val="0"/>
          <w:outline w:val="0"/>
          <w:emboss w:val="0"/>
          <w:imprint w:val="0"/>
          <w:spacing w:val="0"/>
          <w:w w:val="100"/>
          <w:kern w:val="0"/>
          <w:position w:val="0"/>
          <w:sz w:val="27"/>
          <w:szCs w:val="27"/>
          <w:highlight w:val="none"/>
          <w:vertAlign w:val="baseline"/>
        </w:rPr>
      </w:lvl>
    </w:lvlOverride>
    <w:lvlOverride w:ilvl="1">
      <w:lvl w:ilvl="1">
        <w:start w:val="1"/>
        <w:numFmt w:val="bullet"/>
        <w:suff w:val="tab"/>
        <w:lvlText w:val="○"/>
        <w:lvlJc w:val="left"/>
        <w:pPr>
          <w:ind w:left="1560" w:hanging="480"/>
        </w:pPr>
        <w:rPr>
          <w:rFonts w:hAnsi="Arial Unicode MS"/>
          <w:caps w:val="0"/>
          <w:smallCaps w:val="0"/>
          <w:strike w:val="0"/>
          <w:dstrike w:val="0"/>
          <w:outline w:val="0"/>
          <w:emboss w:val="0"/>
          <w:imprint w:val="0"/>
          <w:spacing w:val="0"/>
          <w:w w:val="100"/>
          <w:kern w:val="0"/>
          <w:position w:val="0"/>
          <w:sz w:val="27"/>
          <w:szCs w:val="27"/>
          <w:highlight w:val="none"/>
          <w:vertAlign w:val="baseline"/>
        </w:rPr>
      </w:lvl>
    </w:lvlOverride>
    <w:lvlOverride w:ilvl="2">
      <w:lvl w:ilvl="2">
        <w:start w:val="1"/>
        <w:numFmt w:val="bullet"/>
        <w:suff w:val="tab"/>
        <w:lvlText w:val="■"/>
        <w:lvlJc w:val="left"/>
        <w:pPr>
          <w:ind w:left="2280" w:hanging="480"/>
        </w:pPr>
        <w:rPr>
          <w:rFonts w:hAnsi="Arial Unicode MS"/>
          <w:caps w:val="0"/>
          <w:smallCaps w:val="0"/>
          <w:strike w:val="0"/>
          <w:dstrike w:val="0"/>
          <w:outline w:val="0"/>
          <w:emboss w:val="0"/>
          <w:imprint w:val="0"/>
          <w:spacing w:val="0"/>
          <w:w w:val="100"/>
          <w:kern w:val="0"/>
          <w:position w:val="0"/>
          <w:sz w:val="27"/>
          <w:szCs w:val="27"/>
          <w:highlight w:val="none"/>
          <w:vertAlign w:val="baseline"/>
        </w:rPr>
      </w:lvl>
    </w:lvlOverride>
    <w:lvlOverride w:ilvl="3">
      <w:lvl w:ilvl="3">
        <w:start w:val="1"/>
        <w:numFmt w:val="bullet"/>
        <w:suff w:val="tab"/>
        <w:lvlText w:val="●"/>
        <w:lvlJc w:val="left"/>
        <w:pPr>
          <w:ind w:left="3000" w:hanging="480"/>
        </w:pPr>
        <w:rPr>
          <w:rFonts w:hAnsi="Arial Unicode MS"/>
          <w:caps w:val="0"/>
          <w:smallCaps w:val="0"/>
          <w:strike w:val="0"/>
          <w:dstrike w:val="0"/>
          <w:outline w:val="0"/>
          <w:emboss w:val="0"/>
          <w:imprint w:val="0"/>
          <w:spacing w:val="0"/>
          <w:w w:val="100"/>
          <w:kern w:val="0"/>
          <w:position w:val="0"/>
          <w:sz w:val="27"/>
          <w:szCs w:val="27"/>
          <w:highlight w:val="none"/>
          <w:vertAlign w:val="baseline"/>
        </w:rPr>
      </w:lvl>
    </w:lvlOverride>
    <w:lvlOverride w:ilvl="4">
      <w:lvl w:ilvl="4">
        <w:start w:val="1"/>
        <w:numFmt w:val="bullet"/>
        <w:suff w:val="tab"/>
        <w:lvlText w:val="○"/>
        <w:lvlJc w:val="left"/>
        <w:pPr>
          <w:ind w:left="3720" w:hanging="480"/>
        </w:pPr>
        <w:rPr>
          <w:rFonts w:hAnsi="Arial Unicode MS"/>
          <w:caps w:val="0"/>
          <w:smallCaps w:val="0"/>
          <w:strike w:val="0"/>
          <w:dstrike w:val="0"/>
          <w:outline w:val="0"/>
          <w:emboss w:val="0"/>
          <w:imprint w:val="0"/>
          <w:spacing w:val="0"/>
          <w:w w:val="100"/>
          <w:kern w:val="0"/>
          <w:position w:val="0"/>
          <w:sz w:val="27"/>
          <w:szCs w:val="27"/>
          <w:highlight w:val="none"/>
          <w:vertAlign w:val="baseline"/>
        </w:rPr>
      </w:lvl>
    </w:lvlOverride>
    <w:lvlOverride w:ilvl="5">
      <w:lvl w:ilvl="5">
        <w:start w:val="1"/>
        <w:numFmt w:val="bullet"/>
        <w:suff w:val="tab"/>
        <w:lvlText w:val="■"/>
        <w:lvlJc w:val="left"/>
        <w:pPr>
          <w:ind w:left="4440" w:hanging="480"/>
        </w:pPr>
        <w:rPr>
          <w:rFonts w:hAnsi="Arial Unicode MS"/>
          <w:caps w:val="0"/>
          <w:smallCaps w:val="0"/>
          <w:strike w:val="0"/>
          <w:dstrike w:val="0"/>
          <w:outline w:val="0"/>
          <w:emboss w:val="0"/>
          <w:imprint w:val="0"/>
          <w:spacing w:val="0"/>
          <w:w w:val="100"/>
          <w:kern w:val="0"/>
          <w:position w:val="0"/>
          <w:sz w:val="27"/>
          <w:szCs w:val="27"/>
          <w:highlight w:val="none"/>
          <w:vertAlign w:val="baseline"/>
        </w:rPr>
      </w:lvl>
    </w:lvlOverride>
    <w:lvlOverride w:ilvl="6">
      <w:lvl w:ilvl="6">
        <w:start w:val="1"/>
        <w:numFmt w:val="bullet"/>
        <w:suff w:val="tab"/>
        <w:lvlText w:val="●"/>
        <w:lvlJc w:val="left"/>
        <w:pPr>
          <w:ind w:left="5160" w:hanging="480"/>
        </w:pPr>
        <w:rPr>
          <w:rFonts w:hAnsi="Arial Unicode MS"/>
          <w:caps w:val="0"/>
          <w:smallCaps w:val="0"/>
          <w:strike w:val="0"/>
          <w:dstrike w:val="0"/>
          <w:outline w:val="0"/>
          <w:emboss w:val="0"/>
          <w:imprint w:val="0"/>
          <w:spacing w:val="0"/>
          <w:w w:val="100"/>
          <w:kern w:val="0"/>
          <w:position w:val="0"/>
          <w:sz w:val="27"/>
          <w:szCs w:val="27"/>
          <w:highlight w:val="none"/>
          <w:vertAlign w:val="baseline"/>
        </w:rPr>
      </w:lvl>
    </w:lvlOverride>
    <w:lvlOverride w:ilvl="7">
      <w:lvl w:ilvl="7">
        <w:start w:val="1"/>
        <w:numFmt w:val="bullet"/>
        <w:suff w:val="tab"/>
        <w:lvlText w:val="●"/>
        <w:lvlJc w:val="left"/>
        <w:pPr>
          <w:ind w:left="5880" w:hanging="480"/>
        </w:pPr>
        <w:rPr>
          <w:rFonts w:hAnsi="Arial Unicode MS"/>
          <w:caps w:val="0"/>
          <w:smallCaps w:val="0"/>
          <w:strike w:val="0"/>
          <w:dstrike w:val="0"/>
          <w:outline w:val="0"/>
          <w:emboss w:val="0"/>
          <w:imprint w:val="0"/>
          <w:spacing w:val="0"/>
          <w:w w:val="100"/>
          <w:kern w:val="0"/>
          <w:position w:val="0"/>
          <w:sz w:val="27"/>
          <w:szCs w:val="27"/>
          <w:highlight w:val="none"/>
          <w:vertAlign w:val="baseline"/>
        </w:rPr>
      </w:lvl>
    </w:lvlOverride>
    <w:lvlOverride w:ilvl="8">
      <w:lvl w:ilvl="8">
        <w:start w:val="1"/>
        <w:numFmt w:val="bullet"/>
        <w:suff w:val="tab"/>
        <w:lvlText w:val="●"/>
        <w:lvlJc w:val="left"/>
        <w:pPr>
          <w:ind w:left="6600" w:hanging="480"/>
        </w:pPr>
        <w:rPr>
          <w:rFonts w:hAnsi="Arial Unicode MS"/>
          <w:caps w:val="0"/>
          <w:smallCaps w:val="0"/>
          <w:strike w:val="0"/>
          <w:dstrike w:val="0"/>
          <w:outline w:val="0"/>
          <w:emboss w:val="0"/>
          <w:imprint w:val="0"/>
          <w:spacing w:val="0"/>
          <w:w w:val="100"/>
          <w:kern w:val="0"/>
          <w:position w:val="0"/>
          <w:sz w:val="27"/>
          <w:szCs w:val="27"/>
          <w:highlight w:val="none"/>
          <w:vertAlign w:val="baseline"/>
        </w:rPr>
      </w:lvl>
    </w:lvlOverride>
  </w:num>
  <w:num w:numId="4">
    <w:abstractNumId w:val="0"/>
    <w:lvlOverride w:ilvl="0">
      <w:lvl w:ilvl="0">
        <w:start w:val="1"/>
        <w:numFmt w:val="bullet"/>
        <w:suff w:val="tab"/>
        <w:lvlText w:val="●"/>
        <w:lvlJc w:val="left"/>
        <w:pPr>
          <w:ind w:left="760" w:hanging="400"/>
        </w:pPr>
        <w:rPr>
          <w:rFonts w:hAnsi="Arial Unicode MS"/>
          <w:caps w:val="0"/>
          <w:smallCaps w:val="0"/>
          <w:strike w:val="0"/>
          <w:dstrike w:val="0"/>
          <w:outline w:val="0"/>
          <w:emboss w:val="0"/>
          <w:imprint w:val="0"/>
          <w:spacing w:val="0"/>
          <w:w w:val="100"/>
          <w:kern w:val="0"/>
          <w:position w:val="0"/>
          <w:sz w:val="27"/>
          <w:szCs w:val="27"/>
          <w:highlight w:val="none"/>
          <w:vertAlign w:val="baseline"/>
        </w:rPr>
      </w:lvl>
    </w:lvlOverride>
    <w:lvlOverride w:ilvl="1">
      <w:lvl w:ilvl="1">
        <w:start w:val="1"/>
        <w:numFmt w:val="bullet"/>
        <w:suff w:val="tab"/>
        <w:lvlText w:val="○"/>
        <w:lvlJc w:val="left"/>
        <w:pPr>
          <w:ind w:left="1520" w:hanging="440"/>
        </w:pPr>
        <w:rPr>
          <w:rFonts w:hAnsi="Arial Unicode MS"/>
          <w:caps w:val="0"/>
          <w:smallCaps w:val="0"/>
          <w:strike w:val="0"/>
          <w:dstrike w:val="0"/>
          <w:outline w:val="0"/>
          <w:emboss w:val="0"/>
          <w:imprint w:val="0"/>
          <w:spacing w:val="0"/>
          <w:w w:val="100"/>
          <w:kern w:val="0"/>
          <w:position w:val="0"/>
          <w:sz w:val="27"/>
          <w:szCs w:val="27"/>
          <w:highlight w:val="none"/>
          <w:vertAlign w:val="baseline"/>
        </w:rPr>
      </w:lvl>
    </w:lvlOverride>
    <w:lvlOverride w:ilvl="2">
      <w:lvl w:ilvl="2">
        <w:start w:val="1"/>
        <w:numFmt w:val="bullet"/>
        <w:suff w:val="tab"/>
        <w:lvlText w:val="■"/>
        <w:lvlJc w:val="left"/>
        <w:pPr>
          <w:ind w:left="2240" w:hanging="440"/>
        </w:pPr>
        <w:rPr>
          <w:rFonts w:hAnsi="Arial Unicode MS"/>
          <w:caps w:val="0"/>
          <w:smallCaps w:val="0"/>
          <w:strike w:val="0"/>
          <w:dstrike w:val="0"/>
          <w:outline w:val="0"/>
          <w:emboss w:val="0"/>
          <w:imprint w:val="0"/>
          <w:spacing w:val="0"/>
          <w:w w:val="100"/>
          <w:kern w:val="0"/>
          <w:position w:val="0"/>
          <w:sz w:val="27"/>
          <w:szCs w:val="27"/>
          <w:highlight w:val="none"/>
          <w:vertAlign w:val="baseline"/>
        </w:rPr>
      </w:lvl>
    </w:lvlOverride>
    <w:lvlOverride w:ilvl="3">
      <w:lvl w:ilvl="3">
        <w:start w:val="1"/>
        <w:numFmt w:val="bullet"/>
        <w:suff w:val="tab"/>
        <w:lvlText w:val="●"/>
        <w:lvlJc w:val="left"/>
        <w:pPr>
          <w:ind w:left="2960" w:hanging="440"/>
        </w:pPr>
        <w:rPr>
          <w:rFonts w:hAnsi="Arial Unicode MS"/>
          <w:caps w:val="0"/>
          <w:smallCaps w:val="0"/>
          <w:strike w:val="0"/>
          <w:dstrike w:val="0"/>
          <w:outline w:val="0"/>
          <w:emboss w:val="0"/>
          <w:imprint w:val="0"/>
          <w:spacing w:val="0"/>
          <w:w w:val="100"/>
          <w:kern w:val="0"/>
          <w:position w:val="0"/>
          <w:sz w:val="27"/>
          <w:szCs w:val="27"/>
          <w:highlight w:val="none"/>
          <w:vertAlign w:val="baseline"/>
        </w:rPr>
      </w:lvl>
    </w:lvlOverride>
    <w:lvlOverride w:ilvl="4">
      <w:lvl w:ilvl="4">
        <w:start w:val="1"/>
        <w:numFmt w:val="bullet"/>
        <w:suff w:val="tab"/>
        <w:lvlText w:val="○"/>
        <w:lvlJc w:val="left"/>
        <w:pPr>
          <w:ind w:left="3680" w:hanging="440"/>
        </w:pPr>
        <w:rPr>
          <w:rFonts w:hAnsi="Arial Unicode MS"/>
          <w:caps w:val="0"/>
          <w:smallCaps w:val="0"/>
          <w:strike w:val="0"/>
          <w:dstrike w:val="0"/>
          <w:outline w:val="0"/>
          <w:emboss w:val="0"/>
          <w:imprint w:val="0"/>
          <w:spacing w:val="0"/>
          <w:w w:val="100"/>
          <w:kern w:val="0"/>
          <w:position w:val="0"/>
          <w:sz w:val="27"/>
          <w:szCs w:val="27"/>
          <w:highlight w:val="none"/>
          <w:vertAlign w:val="baseline"/>
        </w:rPr>
      </w:lvl>
    </w:lvlOverride>
    <w:lvlOverride w:ilvl="5">
      <w:lvl w:ilvl="5">
        <w:start w:val="1"/>
        <w:numFmt w:val="bullet"/>
        <w:suff w:val="tab"/>
        <w:lvlText w:val="■"/>
        <w:lvlJc w:val="left"/>
        <w:pPr>
          <w:ind w:left="4400" w:hanging="440"/>
        </w:pPr>
        <w:rPr>
          <w:rFonts w:hAnsi="Arial Unicode MS"/>
          <w:caps w:val="0"/>
          <w:smallCaps w:val="0"/>
          <w:strike w:val="0"/>
          <w:dstrike w:val="0"/>
          <w:outline w:val="0"/>
          <w:emboss w:val="0"/>
          <w:imprint w:val="0"/>
          <w:spacing w:val="0"/>
          <w:w w:val="100"/>
          <w:kern w:val="0"/>
          <w:position w:val="0"/>
          <w:sz w:val="27"/>
          <w:szCs w:val="27"/>
          <w:highlight w:val="none"/>
          <w:vertAlign w:val="baseline"/>
        </w:rPr>
      </w:lvl>
    </w:lvlOverride>
    <w:lvlOverride w:ilvl="6">
      <w:lvl w:ilvl="6">
        <w:start w:val="1"/>
        <w:numFmt w:val="bullet"/>
        <w:suff w:val="tab"/>
        <w:lvlText w:val="●"/>
        <w:lvlJc w:val="left"/>
        <w:pPr>
          <w:ind w:left="5120" w:hanging="440"/>
        </w:pPr>
        <w:rPr>
          <w:rFonts w:hAnsi="Arial Unicode MS"/>
          <w:caps w:val="0"/>
          <w:smallCaps w:val="0"/>
          <w:strike w:val="0"/>
          <w:dstrike w:val="0"/>
          <w:outline w:val="0"/>
          <w:emboss w:val="0"/>
          <w:imprint w:val="0"/>
          <w:spacing w:val="0"/>
          <w:w w:val="100"/>
          <w:kern w:val="0"/>
          <w:position w:val="0"/>
          <w:sz w:val="27"/>
          <w:szCs w:val="27"/>
          <w:highlight w:val="none"/>
          <w:vertAlign w:val="baseline"/>
        </w:rPr>
      </w:lvl>
    </w:lvlOverride>
    <w:lvlOverride w:ilvl="7">
      <w:lvl w:ilvl="7">
        <w:start w:val="1"/>
        <w:numFmt w:val="bullet"/>
        <w:suff w:val="tab"/>
        <w:lvlText w:val="●"/>
        <w:lvlJc w:val="left"/>
        <w:pPr>
          <w:ind w:left="5840" w:hanging="440"/>
        </w:pPr>
        <w:rPr>
          <w:rFonts w:hAnsi="Arial Unicode MS"/>
          <w:caps w:val="0"/>
          <w:smallCaps w:val="0"/>
          <w:strike w:val="0"/>
          <w:dstrike w:val="0"/>
          <w:outline w:val="0"/>
          <w:emboss w:val="0"/>
          <w:imprint w:val="0"/>
          <w:spacing w:val="0"/>
          <w:w w:val="100"/>
          <w:kern w:val="0"/>
          <w:position w:val="0"/>
          <w:sz w:val="27"/>
          <w:szCs w:val="27"/>
          <w:highlight w:val="none"/>
          <w:vertAlign w:val="baseline"/>
        </w:rPr>
      </w:lvl>
    </w:lvlOverride>
    <w:lvlOverride w:ilvl="8">
      <w:lvl w:ilvl="8">
        <w:start w:val="1"/>
        <w:numFmt w:val="bullet"/>
        <w:suff w:val="tab"/>
        <w:lvlText w:val="●"/>
        <w:lvlJc w:val="left"/>
        <w:pPr>
          <w:ind w:left="6560" w:hanging="440"/>
        </w:pPr>
        <w:rPr>
          <w:rFonts w:hAnsi="Arial Unicode MS"/>
          <w:caps w:val="0"/>
          <w:smallCaps w:val="0"/>
          <w:strike w:val="0"/>
          <w:dstrike w:val="0"/>
          <w:outline w:val="0"/>
          <w:emboss w:val="0"/>
          <w:imprint w:val="0"/>
          <w:spacing w:val="0"/>
          <w:w w:val="100"/>
          <w:kern w:val="0"/>
          <w:position w:val="0"/>
          <w:sz w:val="27"/>
          <w:szCs w:val="27"/>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0" w:after="0" w:line="240" w:lineRule="auto"/>
      <w:ind w:left="0" w:right="0" w:firstLine="0"/>
      <w:jc w:val="left"/>
      <w:outlineLvl w:val="0"/>
    </w:pPr>
    <w:rPr>
      <w:rFonts w:ascii="Times New Roman" w:cs="Arial Unicode MS" w:hAnsi="Times New Roman" w:eastAsia="Arial Unicode MS"/>
      <w:b w:val="0"/>
      <w:bCs w:val="0"/>
      <w:i w:val="0"/>
      <w:iCs w:val="0"/>
      <w:caps w:val="0"/>
      <w:smallCaps w:val="0"/>
      <w:strike w:val="0"/>
      <w:dstrike w:val="0"/>
      <w:outline w:val="0"/>
      <w:color w:val="2e74b5"/>
      <w:spacing w:val="0"/>
      <w:kern w:val="0"/>
      <w:position w:val="0"/>
      <w:sz w:val="32"/>
      <w:szCs w:val="32"/>
      <w:u w:val="none" w:color="2e74b5"/>
      <w:shd w:val="nil" w:color="auto" w:fill="auto"/>
      <w:vertAlign w:val="baseline"/>
      <w:lang w:val="en-US"/>
      <w14:textOutline>
        <w14:noFill/>
      </w14:textOutline>
      <w14:textFill>
        <w14:solidFill>
          <w14:srgbClr w14:val="2E74B5"/>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14:textFill>
        <w14:solidFill>
          <w14:srgbClr w14:val="000000"/>
        </w14:solidFill>
      </w14:textFill>
    </w:rPr>
  </w:style>
  <w:style w:type="numbering" w:styleId="Imported Style 1">
    <w:name w:val="Imported Style 1"/>
    <w:pPr>
      <w:numPr>
        <w:numId w:val="1"/>
      </w:numPr>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