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399.9456787109375" w:firstLine="0"/>
        <w:jc w:val="righ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DAILY AQI OF CAAQM STATIONS IN BENGALURU (October-2021)</w:t>
      </w:r>
    </w:p>
    <w:tbl>
      <w:tblPr>
        <w:tblStyle w:val="Table1"/>
        <w:tblW w:w="10245.200500488281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0.0799560546875"/>
        <w:gridCol w:w="1163.9199829101562"/>
        <w:gridCol w:w="1862.9998779296875"/>
        <w:gridCol w:w="1274.8004150390625"/>
        <w:gridCol w:w="1135.1995849609375"/>
        <w:gridCol w:w="1132.80029296875"/>
        <w:gridCol w:w="1229.4000244140625"/>
        <w:gridCol w:w="1176.0003662109375"/>
        <w:tblGridChange w:id="0">
          <w:tblGrid>
            <w:gridCol w:w="1270.0799560546875"/>
            <w:gridCol w:w="1163.9199829101562"/>
            <w:gridCol w:w="1862.9998779296875"/>
            <w:gridCol w:w="1274.8004150390625"/>
            <w:gridCol w:w="1135.1995849609375"/>
            <w:gridCol w:w="1132.80029296875"/>
            <w:gridCol w:w="1229.4000244140625"/>
            <w:gridCol w:w="1176.0003662109375"/>
          </w:tblGrid>
        </w:tblGridChange>
      </w:tblGrid>
      <w:tr>
        <w:trPr>
          <w:cantSplit w:val="0"/>
          <w:trHeight w:val="506.400146484375" w:hRule="atLeast"/>
          <w:tblHeader w:val="0"/>
        </w:trPr>
        <w:tc>
          <w:tcPr>
            <w:gridSpan w:val="8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8.079999923706055"/>
                <w:szCs w:val="28.079999923706055"/>
                <w:u w:val="none"/>
                <w:shd w:fill="auto" w:val="clear"/>
                <w:vertAlign w:val="baseline"/>
                <w:rtl w:val="0"/>
              </w:rPr>
              <w:t xml:space="preserve">Daily AQI Values of Bengaluru (October-2021)</w:t>
            </w:r>
          </w:p>
        </w:tc>
      </w:tr>
      <w:tr>
        <w:trPr>
          <w:cantSplit w:val="0"/>
          <w:trHeight w:val="1250.400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89126586914062" w:right="0" w:firstLine="0"/>
              <w:jc w:val="left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Date 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371.126708984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CAAQM  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6.079999923706055"/>
                <w:szCs w:val="16.079999923706055"/>
                <w:u w:val="none"/>
                <w:shd w:fill="auto" w:val="clear"/>
                <w:vertAlign w:val="baseline"/>
                <w:rtl w:val="0"/>
              </w:rPr>
              <w:t xml:space="preserve">Stations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City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Railway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Station,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Majestic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34.17205810546875" w:right="130.84533691406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Nisarga Bhavan,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Saneguruvanahalli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78.387451171875" w:right="116.94641113281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Veterinary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College,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10058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Hebbal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Shalini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Ground,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Jayanagar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1.2314224243164" w:lineRule="auto"/>
              <w:ind w:left="140.3765869140625" w:right="78.095703125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KAVIKA,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Mysore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.81005859375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Road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NIMHANS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H.S.R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Layout,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Near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Central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19.920000076293945"/>
                <w:szCs w:val="19.920000076293945"/>
                <w:highlight w:val="white"/>
                <w:u w:val="none"/>
                <w:vertAlign w:val="baseline"/>
                <w:rtl w:val="0"/>
              </w:rPr>
              <w:t xml:space="preserve">Silkboard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01-10-2021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65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02-10-2021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03-10-2021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04-10-2021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1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05-10-2021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06-10-2021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</w:t>
            </w:r>
          </w:p>
        </w:tc>
      </w:tr>
      <w:tr>
        <w:trPr>
          <w:cantSplit w:val="0"/>
          <w:trHeight w:val="311.999511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07-10-2021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08-10-2021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09-10-2021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75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13-10-2021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15-10-2021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66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16-10-2021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55</w:t>
            </w:r>
          </w:p>
        </w:tc>
      </w:tr>
      <w:tr>
        <w:trPr>
          <w:cantSplit w:val="0"/>
          <w:trHeight w:val="310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17-10-2021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18-10-2021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73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19-10-2021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143</w:t>
            </w:r>
          </w:p>
        </w:tc>
      </w:tr>
      <w:tr>
        <w:trPr>
          <w:cantSplit w:val="0"/>
          <w:trHeight w:val="309.599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20-10-2021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101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21-10-2021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78</w:t>
            </w:r>
          </w:p>
        </w:tc>
      </w:tr>
      <w:tr>
        <w:trPr>
          <w:cantSplit w:val="0"/>
          <w:trHeight w:val="309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22-10-2021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</w:t>
            </w:r>
          </w:p>
        </w:tc>
      </w:tr>
      <w:tr>
        <w:trPr>
          <w:cantSplit w:val="0"/>
          <w:trHeight w:val="309.600830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24-10-2021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42</w:t>
            </w:r>
          </w:p>
        </w:tc>
      </w:tr>
      <w:tr>
        <w:trPr>
          <w:cantSplit w:val="0"/>
          <w:trHeight w:val="311.9989013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25-10-2021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82</w:t>
            </w:r>
          </w:p>
        </w:tc>
      </w:tr>
      <w:tr>
        <w:trPr>
          <w:cantSplit w:val="0"/>
          <w:trHeight w:val="309.60113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26-10-2021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139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99</w:t>
            </w:r>
          </w:p>
        </w:tc>
      </w:tr>
      <w:tr>
        <w:trPr>
          <w:cantSplit w:val="0"/>
          <w:trHeight w:val="30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27-10-2021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114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174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121</w:t>
            </w:r>
          </w:p>
        </w:tc>
      </w:tr>
      <w:tr>
        <w:trPr>
          <w:cantSplit w:val="0"/>
          <w:trHeight w:val="310.1989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28-10-2021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107</w:t>
            </w:r>
          </w:p>
        </w:tc>
      </w:tr>
      <w:tr>
        <w:trPr>
          <w:cantSplit w:val="0"/>
          <w:trHeight w:val="309.601135253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29-10-2021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91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44</w:t>
            </w:r>
          </w:p>
        </w:tc>
      </w:tr>
      <w:tr>
        <w:trPr>
          <w:cantSplit w:val="0"/>
          <w:trHeight w:val="30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30-10-2021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yellow"/>
                <w:u w:val="none"/>
                <w:vertAlign w:val="baseline"/>
                <w:rtl w:val="0"/>
              </w:rPr>
              <w:t xml:space="preserve">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76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12.0001220703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31-10-2021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85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53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47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92d050" w:val="clear"/>
                <w:vertAlign w:val="baseline"/>
                <w:rtl w:val="0"/>
              </w:rPr>
              <w:t xml:space="preserve">66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26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00b050" w:val="clear"/>
                <w:vertAlign w:val="baseline"/>
                <w:rtl w:val="0"/>
              </w:rPr>
              <w:t xml:space="preserve">36</w:t>
            </w:r>
          </w:p>
        </w:tc>
      </w:tr>
      <w:tr>
        <w:trPr>
          <w:cantSplit w:val="0"/>
          <w:trHeight w:val="309.599914550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80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22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34</w:t>
            </w:r>
          </w:p>
        </w:tc>
      </w:tr>
      <w:tr>
        <w:trPr>
          <w:cantSplit w:val="0"/>
          <w:trHeight w:val="309.6002197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Max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65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123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178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highlight w:val="white"/>
                <w:u w:val="none"/>
                <w:vertAlign w:val="baseline"/>
                <w:rtl w:val="0"/>
              </w:rPr>
              <w:t xml:space="preserve">143</w:t>
            </w:r>
          </w:p>
        </w:tc>
      </w:tr>
    </w:tbl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20" w:w="11900" w:orient="portrait"/>
          <w:pgMar w:bottom="1040.8399963378906" w:top="1426.0009765625" w:left="712.7999877929688" w:right="827.600097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6551803" cy="87757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51803" cy="8775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57.88208007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e 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5.797119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u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.88037109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l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7.593994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19140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V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.500488281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.16967773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I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4.9694824218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Q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047851562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"/>
          <w:szCs w:val="2"/>
          <w:u w:val="none"/>
          <w:shd w:fill="auto" w:val="clear"/>
          <w:vertAlign w:val="baseline"/>
          <w:rtl w:val="0"/>
        </w:rPr>
        <w:t xml:space="preserve">A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AQI Trend in CAAQMS, Bengaluru during October 2021 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3.919677734375" w:line="240" w:lineRule="auto"/>
        <w:ind w:left="0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8.079999923706055"/>
          <w:szCs w:val="28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8.079999923706055"/>
          <w:szCs w:val="28.079999923706055"/>
          <w:u w:val="none"/>
          <w:shd w:fill="auto" w:val="clear"/>
          <w:vertAlign w:val="baseline"/>
          <w:rtl w:val="0"/>
        </w:rPr>
        <w:t xml:space="preserve">AQI Trend in CAAQMS, Bengaluru  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6.90673828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400 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4082031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350 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300 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4101562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250 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3979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200 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150 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3395996093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100 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940185546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50 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9.539794921875" w:line="240" w:lineRule="auto"/>
        <w:ind w:left="0" w:right="0" w:firstLine="0"/>
        <w:jc w:val="left"/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sectPr>
          <w:type w:val="continuous"/>
          <w:pgSz w:h="16820" w:w="11900" w:orient="portrait"/>
          <w:pgMar w:bottom="1040.8399963378906" w:top="1426.0009765625" w:left="1784.7935485839844" w:right="3218.759765625" w:header="0" w:footer="720"/>
          <w:cols w:equalWidth="0" w:num="2">
            <w:col w:space="0" w:w="3460"/>
            <w:col w:space="0" w:w="3460"/>
          </w:cols>
        </w:sect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  <w:rtl w:val="0"/>
        </w:rPr>
        <w:t xml:space="preserve">0 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5.3856563568115" w:lineRule="auto"/>
        <w:ind w:left="1552.2000122070312" w:right="827.39990234375" w:firstLine="0"/>
        <w:jc w:val="center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595959"/>
          <w:sz w:val="18"/>
          <w:szCs w:val="18"/>
          <w:u w:val="none"/>
          <w:shd w:fill="auto" w:val="clear"/>
          <w:vertAlign w:val="baseline"/>
        </w:rPr>
        <w:drawing>
          <wp:inline distB="19050" distT="19050" distL="19050" distR="19050">
            <wp:extent cx="5067300" cy="603936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6039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City Railway Station, Majestic Nisarga Bhavan, Saneguruvanahalli Veterinary College, Hebbal Shalini Ground, Jayanagar 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.48046875" w:line="240" w:lineRule="auto"/>
        <w:ind w:left="1962.97271728515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KAVIKA, Mysore Road NIMHANS 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5.728759765625" w:line="240" w:lineRule="auto"/>
        <w:ind w:left="1962.9727172851562" w:right="0" w:firstLine="0"/>
        <w:jc w:val="left"/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i w:val="0"/>
          <w:smallCaps w:val="0"/>
          <w:strike w:val="0"/>
          <w:color w:val="595959"/>
          <w:sz w:val="21.1200008392334"/>
          <w:szCs w:val="21.1200008392334"/>
          <w:u w:val="none"/>
          <w:shd w:fill="auto" w:val="clear"/>
          <w:vertAlign w:val="baseline"/>
          <w:rtl w:val="0"/>
        </w:rPr>
        <w:t xml:space="preserve">H.S.R Layout, Near Central Silkboard</w:t>
      </w:r>
    </w:p>
    <w:tbl>
      <w:tblPr>
        <w:tblStyle w:val="Table2"/>
        <w:tblW w:w="9524.720840454102" w:type="dxa"/>
        <w:jc w:val="left"/>
        <w:tblInd w:w="470.8800506591797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406.3199615478516"/>
        <w:gridCol w:w="1385.4000854492188"/>
        <w:gridCol w:w="6733.000793457031"/>
        <w:tblGridChange w:id="0">
          <w:tblGrid>
            <w:gridCol w:w="1406.3199615478516"/>
            <w:gridCol w:w="1385.4000854492188"/>
            <w:gridCol w:w="6733.000793457031"/>
          </w:tblGrid>
        </w:tblGridChange>
      </w:tblGrid>
      <w:tr>
        <w:trPr>
          <w:cantSplit w:val="0"/>
          <w:trHeight w:val="463.59985351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Range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Category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Possible Health Impacts</w:t>
            </w:r>
          </w:p>
        </w:tc>
      </w:tr>
      <w:tr>
        <w:trPr>
          <w:cantSplit w:val="0"/>
          <w:trHeight w:val="314.39941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0-50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Good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00b050" w:val="clear"/>
                <w:vertAlign w:val="baseline"/>
                <w:rtl w:val="0"/>
              </w:rPr>
              <w:t xml:space="preserve">Minimal Impact</w:t>
            </w:r>
          </w:p>
        </w:tc>
      </w:tr>
      <w:tr>
        <w:trPr>
          <w:cantSplit w:val="0"/>
          <w:trHeight w:val="31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51-100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Satisfactory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5.67962646484375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2d050" w:val="clear"/>
                <w:vertAlign w:val="baseline"/>
                <w:rtl w:val="0"/>
              </w:rPr>
              <w:t xml:space="preserve">Minor breathing discomfort to sensitive people</w:t>
            </w:r>
          </w:p>
        </w:tc>
      </w:tr>
      <w:tr>
        <w:trPr>
          <w:cantSplit w:val="0"/>
          <w:trHeight w:val="837.60009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101-200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Moderate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19.5196533203125" w:right="437.32177734375" w:hanging="3.8400268554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May cause breathing discomfort to the people with lung disease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such as asthma and discomfort to people with heart disease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yellow"/>
                <w:u w:val="none"/>
                <w:vertAlign w:val="baseline"/>
                <w:rtl w:val="0"/>
              </w:rPr>
              <w:t xml:space="preserve">Children and older adults</w:t>
            </w:r>
          </w:p>
        </w:tc>
      </w:tr>
      <w:tr>
        <w:trPr>
          <w:cantSplit w:val="0"/>
          <w:trHeight w:val="561.59912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201-300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Poor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79876708984" w:lineRule="auto"/>
              <w:ind w:left="121.6796875" w:right="259.24072265625" w:hanging="6.0000610351562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May cause breathing discomfort to people on prolonged exposure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ffc000" w:val="clear"/>
                <w:vertAlign w:val="baseline"/>
                <w:rtl w:val="0"/>
              </w:rPr>
              <w:t xml:space="preserve">and discomfort to people with heart disease</w:t>
            </w:r>
          </w:p>
        </w:tc>
      </w:tr>
      <w:tr>
        <w:trPr>
          <w:cantSplit w:val="0"/>
          <w:trHeight w:val="837.6013183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301-400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Very Poor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29.90792751312256" w:lineRule="auto"/>
              <w:ind w:left="115.67962646484375" w:right="137.640380859375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May cause respiratory illness to the people on prolonged exposure.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Effect may be more pronounced in people with lung and heart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highlight w:val="red"/>
                <w:u w:val="none"/>
                <w:vertAlign w:val="baseline"/>
                <w:rtl w:val="0"/>
              </w:rPr>
              <w:t xml:space="preserve">diseases</w:t>
            </w:r>
          </w:p>
        </w:tc>
      </w:tr>
      <w:tr>
        <w:trPr>
          <w:cantSplit w:val="0"/>
          <w:trHeight w:val="564.598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9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90000" w:val="clear"/>
                <w:vertAlign w:val="baseline"/>
                <w:rtl w:val="0"/>
              </w:rPr>
              <w:t xml:space="preserve">&gt; 401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9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90000" w:val="clear"/>
                <w:vertAlign w:val="baseline"/>
                <w:rtl w:val="0"/>
              </w:rPr>
              <w:t xml:space="preserve">Severe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30.40757656097412" w:lineRule="auto"/>
              <w:ind w:left="114.959716796875" w:right="307.2412109375" w:firstLine="0.71990966796875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90000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90000" w:val="clear"/>
                <w:vertAlign w:val="baseline"/>
                <w:rtl w:val="0"/>
              </w:rPr>
              <w:t xml:space="preserve">May cause respiratory effects even on healthy people and serious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990000" w:val="clear"/>
                <w:vertAlign w:val="baseline"/>
                <w:rtl w:val="0"/>
              </w:rPr>
              <w:t xml:space="preserve">health effect on people with lung/heart diseases</w:t>
            </w:r>
          </w:p>
        </w:tc>
      </w:tr>
    </w:tbl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type w:val="continuous"/>
      <w:pgSz w:h="16820" w:w="11900" w:orient="portrait"/>
      <w:pgMar w:bottom="1040.8399963378906" w:top="1426.0009765625" w:left="712.7999877929688" w:right="827.60009765625" w:header="0" w:footer="720"/>
      <w:cols w:equalWidth="0" w:num="1">
        <w:col w:space="0" w:w="10359.59991455078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