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after="20" w:before="2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r>
    </w:p>
    <w:p w:rsidR="00000000" w:rsidDel="00000000" w:rsidP="00000000" w:rsidRDefault="00000000" w:rsidRPr="00000000" w14:paraId="00000005">
      <w:pPr>
        <w:spacing w:after="20" w:before="2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 w:before="2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r>
    </w:p>
    <w:p w:rsidR="00000000" w:rsidDel="00000000" w:rsidP="00000000" w:rsidRDefault="00000000" w:rsidRPr="00000000" w14:paraId="00000007">
      <w:pPr>
        <w:spacing w:after="20" w:before="2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 w:before="2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t>
      </w:r>
    </w:p>
    <w:p w:rsidR="00000000" w:rsidDel="00000000" w:rsidP="00000000" w:rsidRDefault="00000000" w:rsidRPr="00000000" w14:paraId="00000009">
      <w:pPr>
        <w:spacing w:after="20" w:before="2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w:t>
      <w:tab/>
    </w:r>
    <w:r w:rsidDel="00000000" w:rsidR="00000000" w:rsidRPr="00000000">
      <w:rPr>
        <w:rFonts w:ascii="Cambria" w:cs="Cambria" w:eastAsia="Cambria" w:hAnsi="Cambria"/>
        <w:b w:val="1"/>
        <w:sz w:val="20"/>
        <w:szCs w:val="20"/>
        <w:rtl w:val="0"/>
      </w:rPr>
      <w:t xml:space="preserve">i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
              <a:graphic>
                <a:graphicData uri="http://schemas.microsoft.com/office/word/2010/wordprocessingShape">
                  <wps:wsp>
                    <wps:cNvSpPr/>
                    <wps:cNvPr id="2" name="Shape 2"/>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Air Quality monitoring, forecasting and controlling system</w:t>
      <w:tab/>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
              <a:graphic>
                <a:graphicData uri="http://schemas.microsoft.com/office/word/2010/wordprocessingShape">
                  <wps:wsp>
                    <wps:cNvSpPr/>
                    <wps:cNvPr id="3" name="Shape 3"/>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