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100" w:after="60" w:line="276" w:lineRule="auto"/>
      </w:pPr>
      <w:r>
        <w:rPr>
          <w:b/>
          <w:color w:val="EA580C"/>
          <w:sz w:val="24"/>
        </w:rPr>
        <w:t xml:space="preserve">ENGINEERING SPECIFICATION SHEET</w:t>
      </w:r>
    </w:p>
    <w:p>
      <w:pPr>
        <w:spacing w:before="40" w:after="100" w:line="276" w:lineRule="auto"/>
      </w:pPr>
      <w:r>
        <w:rPr>
          <w:b/>
          <w:color w:val="1E40AF"/>
          <w:sz w:val="36"/>
        </w:rPr>
        <w:t xml:space="preserve">Drishti — AI-Driven Semiconductor Burn-In &amp; Anomaly Screening System</w:t>
      </w:r>
    </w:p>
    <w:p>
      <w:pPr>
        <w:spacing w:before="0" w:after="80" w:line="276" w:lineRule="auto"/>
      </w:pPr>
      <w:r>
        <w:rPr>
          <w:b/>
          <w:color w:val="046A38"/>
          <w:sz w:val="22"/>
        </w:rPr>
        <w:t xml:space="preserve">Smart India Hackathon (SIH 2026) • Problem Statement ID: SIH26170</w:t>
      </w:r>
    </w:p>
    <w:p>
      <w:pPr>
        <w:spacing w:before="0" w:after="240" w:line="276" w:lineRule="auto"/>
      </w:pPr>
      <w:r>
        <w:rPr>
          <w:i/>
          <w:color w:val="64748B"/>
          <w:sz w:val="20"/>
        </w:rPr>
        <w:t xml:space="preserve">Organization: Symbiosis Institute of Technology (SIT), Pune | Team: Drishti (Insightful Vision)</w:t>
      </w:r>
    </w:p>
    <w:p>
      <w:pPr>
        <w:spacing w:before="120" w:after="120"/>
        <w:pBdr>
          <w:left w:val="single" w:sz="24" w:space="12" w:color="EA580C"/>
        </w:pBdr>
        <w:shd w:val="clear" w:color="auto" w:fill="FFF7ED"/>
      </w:pPr>
      <w:r>
        <w:rPr>
          <w:b/>
          <w:color w:val="EA580C"/>
          <w:sz w:val="22"/>
        </w:rPr>
        <w:t xml:space="preserve">MISSION OBJECTIVE
</w:t>
      </w:r>
      <w:r>
        <w:rPr>
          <w:color w:val="7C2D12"/>
          <w:sz w:val="21"/>
        </w:rPr>
        <w:t xml:space="preserve">Develop an end-to-end AI/ML predictive environmental stress screening (ESS) system that detects subtle, population-relative latent defects in semiconductor components (IGBTs/MOSFETs) during 125°C Burn-In testing across 0h, 24h, 96h, and 168h before catastrophic mission failure.</w:t>
      </w:r>
    </w:p>
    <w:p>
      <w:pPr>
        <w:pStyle w:val="Heading1"/>
        <w:spacing w:before="0" w:after="140" w:line="276" w:lineRule="auto"/>
      </w:pPr>
      <w:r>
        <w:rPr>
          <w:color w:val="1F2937"/>
          <w:sz w:val="22"/>
        </w:rPr>
        <w:t xml:space="preserve">1. Executive Summary &amp; Problem Formulation</w:t>
      </w:r>
    </w:p>
    <w:p>
      <w:pPr>
        <w:spacing w:before="0" w:after="140" w:line="276" w:lineRule="auto"/>
      </w:pPr>
      <w:r>
        <w:rPr>
          <w:color w:val="1F2937"/>
          <w:sz w:val="22"/>
        </w:rPr>
        <w:t xml:space="preserve">In high-reliability sectors such as space and aerospace, electronic components undergo rigorous Environmental Stress Screening (ESS), including Burn-In testing at elevated temperatures (e.g., 125°C for extended durations). Traditional manufacturing quality assurance relies strictly on static parametric pass/fail limits defined in component datasheets. However, 'latent defects'—components that pass the absolute limits but exhibit anomalous drift over time—often escape into final space payloads, resulting in catastrophic field failures.</w:t>
      </w:r>
    </w:p>
    <w:p>
      <w:pPr>
        <w:pStyle w:val="ListParagraph"/>
        <w:spacing w:before="40" w:after="80" w:line="276" w:lineRule="auto"/>
        <w:ind w:left="360" w:hanging="180"/>
      </w:pPr>
      <w:r>
        <w:rPr>
          <w:b/>
          <w:color w:val="1E40AF"/>
        </w:rPr>
        <w:t>• </w:t>
      </w:r>
      <w:r>
        <w:rPr>
          <w:b/>
          <w:color w:val="0F2B5C"/>
        </w:rPr>
        <w:t xml:space="preserve">The Latent Defect Dilemma: </w:t>
      </w:r>
      <w:r>
        <w:rPr>
          <w:color w:val="334155"/>
        </w:rPr>
        <w:t xml:space="preserve">Consider a semiconductor lot with a mean leakage current of 10 μA and a static datasheet upper limit of 50 μA. A component exhibiting 45 μA technically passes traditional screening, yet represents a 4.5x population deviation indicating localized barrier degradation or dielectric micro-cracking.</w:t>
      </w:r>
    </w:p>
    <w:p>
      <w:pPr>
        <w:pStyle w:val="ListParagraph"/>
        <w:spacing w:before="40" w:after="80" w:line="276" w:lineRule="auto"/>
        <w:ind w:left="360" w:hanging="180"/>
      </w:pPr>
      <w:r>
        <w:rPr>
          <w:b/>
          <w:color w:val="1E40AF"/>
        </w:rPr>
        <w:t>• </w:t>
      </w:r>
      <w:r>
        <w:rPr>
          <w:b/>
          <w:color w:val="0F2B5C"/>
        </w:rPr>
        <w:t xml:space="preserve">Drishti Core Purpose: </w:t>
      </w:r>
      <w:r>
        <w:rPr>
          <w:color w:val="334155"/>
        </w:rPr>
        <w:t xml:space="preserve">Provides dynamic population-relative outlier detection, time-series drift forecasting, feature auto-scaling, and natural language physics explainability powered by Groq Llama 3.3.</w:t>
      </w:r>
    </w:p>
    <w:p>
      <w:pPr>
        <w:pStyle w:val="Heading1"/>
        <w:spacing w:before="0" w:after="140" w:line="276" w:lineRule="auto"/>
      </w:pPr>
      <w:r>
        <w:rPr>
          <w:color w:val="1F2937"/>
          <w:sz w:val="22"/>
        </w:rPr>
        <w:t xml:space="preserve">2. Fullstack System Architecture &amp; Technology Stack</w:t>
      </w:r>
    </w:p>
    <w:p>
      <w:pPr>
        <w:spacing w:before="0" w:after="140" w:line="276" w:lineRule="auto"/>
      </w:pPr>
      <w:r>
        <w:rPr>
          <w:color w:val="1F2937"/>
          <w:sz w:val="22"/>
        </w:rPr>
        <w:t xml:space="preserve">The system is engineered as a unified, zero-dependency fullstack application adhering to strict enterprise and laboratory deployment requirements. All networking, ML math, database transactions, and AI communications run natively on standard Python 3.8+ libraries.</w:t>
      </w:r>
    </w:p>
    <w:tbl>
      <w:tblPr>
        <w:tblW w:w="9000" w:type="dxa"/>
        <w:tblBorders>
          <w:top w:val="single" w:sz="6" w:space="0" w:color="CBD5E1"/>
          <w:left w:val="none"/>
          <w:bottom w:val="single" w:sz="6" w:space="0" w:color="CBD5E1"/>
          <w:right w:val="none"/>
          <w:insideH w:val="single" w:sz="4" w:space="0" w:color="E2E8F0"/>
          <w:insideV w:val="none"/>
        </w:tblBorders>
      </w:tblPr>
      <w:tr>
        <w:trPr>
          <w:tblHeader/>
        </w:trPr>
        <w:tc>
          <w:tcPr>
            <w:tcW w:w="1800" w:type="dxa"/>
            <w:shd w:val="clear" w:color="auto" w:fill="EFF6FF"/>
          </w:tcPr>
          <w:p>
            <w:pPr>
              <w:spacing w:before="80" w:after="80"/>
            </w:pPr>
            <w:r>
              <w:rPr>
                <w:b/>
                <w:color w:val="1E40AF"/>
                <w:sz w:val="20"/>
              </w:rPr>
              <w:t>Layer</w:t>
            </w:r>
          </w:p>
        </w:tc>
        <w:tc>
          <w:tcPr>
            <w:tcW w:w="2800" w:type="dxa"/>
            <w:shd w:val="clear" w:color="auto" w:fill="EFF6FF"/>
          </w:tcPr>
          <w:p>
            <w:pPr>
              <w:spacing w:before="80" w:after="80"/>
            </w:pPr>
            <w:r>
              <w:rPr>
                <w:b/>
                <w:color w:val="1E40AF"/>
                <w:sz w:val="20"/>
              </w:rPr>
              <w:t>Technology / Framework</w:t>
            </w:r>
          </w:p>
        </w:tc>
        <w:tc>
          <w:tcPr>
            <w:tcW w:w="4400" w:type="dxa"/>
            <w:shd w:val="clear" w:color="auto" w:fill="EFF6FF"/>
          </w:tcPr>
          <w:p>
            <w:pPr>
              <w:spacing w:before="80" w:after="80"/>
            </w:pPr>
            <w:r>
              <w:rPr>
                <w:b/>
                <w:color w:val="1E40AF"/>
                <w:sz w:val="20"/>
              </w:rPr>
              <w:t>Primary Engineering Responsibility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</w:rPr>
              <w:t>Frontend UI</w:t>
            </w:r>
          </w:p>
        </w:tc>
        <w:tc>
          <w:tcPr>
            <w:tcW w:w="2800" w:type="dxa"/>
          </w:tcPr>
          <w:p>
            <w:pPr>
              <w:spacing w:before="60" w:after="60"/>
            </w:pPr>
            <w:r>
              <w:rPr>
                <w:sz w:val="20"/>
              </w:rPr>
              <w:t>HTML5, CSS3 Modern Flex/Grid, Vanilla JS, Chart.js 4.4.1</w:t>
            </w:r>
          </w:p>
        </w:tc>
        <w:tc>
          <w:tcPr>
            <w:tcW w:w="4400" w:type="dxa"/>
          </w:tcPr>
          <w:p>
            <w:pPr>
              <w:spacing w:before="60" w:after="60"/>
            </w:pPr>
            <w:r>
              <w:rPr>
                <w:sz w:val="20"/>
              </w:rPr>
              <w:t>SPA Navigation, Draggable Scatterplots, Line Curves, Real-time Sliders, Indian Flag Accents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</w:rPr>
              <w:t>REST Server</w:t>
            </w:r>
          </w:p>
        </w:tc>
        <w:tc>
          <w:tcPr>
            <w:tcW w:w="2800" w:type="dxa"/>
          </w:tcPr>
          <w:p>
            <w:pPr>
              <w:spacing w:before="60" w:after="60"/>
            </w:pPr>
            <w:r>
              <w:rPr>
                <w:sz w:val="20"/>
              </w:rPr>
              <w:t>Python 3 Standard Library (http.server, socketserver)</w:t>
            </w:r>
          </w:p>
        </w:tc>
        <w:tc>
          <w:tcPr>
            <w:tcW w:w="4400" w:type="dxa"/>
          </w:tcPr>
          <w:p>
            <w:pPr>
              <w:spacing w:before="60" w:after="60"/>
            </w:pPr>
            <w:r>
              <w:rPr>
                <w:sz w:val="20"/>
              </w:rPr>
              <w:t>Zero-dependency HTTP server serving static assets and JSON REST endpoints on port 5000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</w:rPr>
              <w:t>Auto-Scaler</w:t>
            </w:r>
          </w:p>
        </w:tc>
        <w:tc>
          <w:tcPr>
            <w:tcW w:w="2800" w:type="dxa"/>
          </w:tcPr>
          <w:p>
            <w:pPr>
              <w:spacing w:before="60" w:after="60"/>
            </w:pPr>
            <w:r>
              <w:rPr>
                <w:sz w:val="20"/>
              </w:rPr>
              <w:t>Custom Z-Score Standardization (scaler.py)</w:t>
            </w:r>
          </w:p>
        </w:tc>
        <w:tc>
          <w:tcPr>
            <w:tcW w:w="4400" w:type="dxa"/>
          </w:tcPr>
          <w:p>
            <w:pPr>
              <w:spacing w:before="60" w:after="60"/>
            </w:pPr>
            <w:r>
              <w:rPr>
                <w:sz w:val="20"/>
              </w:rPr>
              <w:t>Normalizes raw physical voltages (X_raw -&gt; X_scaled) and inverse-scales predictions (Y_scaled -&gt; Y_phys)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</w:rPr>
              <w:t>ML Engine</w:t>
            </w:r>
          </w:p>
        </w:tc>
        <w:tc>
          <w:tcPr>
            <w:tcW w:w="2800" w:type="dxa"/>
          </w:tcPr>
          <w:p>
            <w:pPr>
              <w:spacing w:before="60" w:after="60"/>
            </w:pPr>
            <w:r>
              <w:rPr>
                <w:sz w:val="20"/>
              </w:rPr>
              <w:t>Physics-Informed Linear &amp; Polynomial Models (model_engine.py)</w:t>
            </w:r>
          </w:p>
        </w:tc>
        <w:tc>
          <w:tcPr>
            <w:tcW w:w="4400" w:type="dxa"/>
          </w:tcPr>
          <w:p>
            <w:pPr>
              <w:spacing w:before="60" w:after="60"/>
            </w:pPr>
            <w:r>
              <w:rPr>
                <w:sz w:val="20"/>
              </w:rPr>
              <w:t>Executes scaled parameter inference based on NASA accelerated aging regression curves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</w:rPr>
              <w:t>Explainability</w:t>
            </w:r>
          </w:p>
        </w:tc>
        <w:tc>
          <w:tcPr>
            <w:tcW w:w="2800" w:type="dxa"/>
          </w:tcPr>
          <w:p>
            <w:pPr>
              <w:spacing w:before="60" w:after="60"/>
            </w:pPr>
            <w:r>
              <w:rPr>
                <w:sz w:val="20"/>
              </w:rPr>
              <w:t>Groq Llama 3.3 (70B Versatile) + Built-in Rule Engine</w:t>
            </w:r>
          </w:p>
        </w:tc>
        <w:tc>
          <w:tcPr>
            <w:tcW w:w="4400" w:type="dxa"/>
          </w:tcPr>
          <w:p>
            <w:pPr>
              <w:spacing w:before="60" w:after="60"/>
            </w:pPr>
            <w:r>
              <w:rPr>
                <w:sz w:val="20"/>
              </w:rPr>
              <w:t>Translates mathematical deviations into 3-point concise physics failure reports &amp; verdicts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</w:rPr>
              <w:t>Database</w:t>
            </w:r>
          </w:p>
        </w:tc>
        <w:tc>
          <w:tcPr>
            <w:tcW w:w="2800" w:type="dxa"/>
          </w:tcPr>
          <w:p>
            <w:pPr>
              <w:spacing w:before="60" w:after="60"/>
            </w:pPr>
            <w:r>
              <w:rPr>
                <w:sz w:val="20"/>
              </w:rPr>
              <w:t>SQLite3 (backend/data/screening.db)</w:t>
            </w:r>
          </w:p>
        </w:tc>
        <w:tc>
          <w:tcPr>
            <w:tcW w:w="4400" w:type="dxa"/>
          </w:tcPr>
          <w:p>
            <w:pPr>
              <w:spacing w:before="60" w:after="60"/>
            </w:pPr>
            <w:r>
              <w:rPr>
                <w:sz w:val="20"/>
              </w:rPr>
              <w:t>Persists all screening transactions, deviations, AI reports, and timestamps for QA auditing</w:t>
            </w:r>
          </w:p>
        </w:tc>
      </w:tr>
    </w:tbl>
    <w:p>
      <w:pPr>
        <w:spacing w:after="140"/>
      </w:pPr>
    </w:p>
    <w:p>
      <w:pPr>
        <w:pStyle w:val="Heading1"/>
        <w:spacing w:before="0" w:after="140" w:line="276" w:lineRule="auto"/>
      </w:pPr>
      <w:r>
        <w:rPr>
          <w:color w:val="1F2937"/>
          <w:sz w:val="22"/>
        </w:rPr>
        <w:t xml:space="preserve">3. Frontend Architecture &amp; Human Interface (UX/UI)</w:t>
      </w:r>
    </w:p>
    <w:p>
      <w:pPr>
        <w:spacing w:before="0" w:after="140" w:line="276" w:lineRule="auto"/>
      </w:pPr>
      <w:r>
        <w:rPr>
          <w:color w:val="1F2937"/>
          <w:sz w:val="22"/>
        </w:rPr>
        <w:t xml:space="preserve">The human interface is designed around clean white ergonomics with Indian Flag inspired accent colors (Saffron Orange #EA580C, Chakra Navy Blue #1E40AF, and India Green #15803D), minimal functional typography, and interactive canvas graphics.</w:t>
      </w:r>
    </w:p>
    <w:p>
      <w:pPr>
        <w:pStyle w:val="Heading2"/>
        <w:spacing w:before="0" w:after="140" w:line="276" w:lineRule="auto"/>
      </w:pPr>
      <w:r>
        <w:rPr>
          <w:color w:val="1F2937"/>
          <w:sz w:val="22"/>
        </w:rPr>
        <w:t xml:space="preserve">3.1 Core User Interface Views</w:t>
      </w:r>
    </w:p>
    <w:p>
      <w:pPr>
        <w:pStyle w:val="ListParagraph"/>
        <w:spacing w:before="40" w:after="80" w:line="276" w:lineRule="auto"/>
        <w:ind w:left="360" w:hanging="180"/>
      </w:pPr>
      <w:r>
        <w:rPr>
          <w:b/>
          <w:color w:val="1E40AF"/>
        </w:rPr>
        <w:t>• </w:t>
      </w:r>
      <w:r>
        <w:rPr>
          <w:b/>
          <w:color w:val="0F2B5C"/>
        </w:rPr>
        <w:t xml:space="preserve">Landing Page (4 Executive Cards): </w:t>
      </w:r>
      <w:r>
        <w:rPr>
          <w:color w:val="334155"/>
        </w:rPr>
        <w:t xml:space="preserve">Features 4 dedicated cards: 1) About Us (Team Drishti &amp; SIH26170 specifications), 2) Breakdown Model (Vce vs Ic), 3) Leakage IV Model (Applied Voltage vs Leakage), and 4) Turn-On Model (Vge vs Ic).</w:t>
      </w:r>
    </w:p>
    <w:p>
      <w:pPr>
        <w:pStyle w:val="ListParagraph"/>
        <w:spacing w:before="40" w:after="80" w:line="276" w:lineRule="auto"/>
        <w:ind w:left="360" w:hanging="180"/>
      </w:pPr>
      <w:r>
        <w:rPr>
          <w:b/>
          <w:color w:val="1E40AF"/>
        </w:rPr>
        <w:t>• </w:t>
      </w:r>
      <w:r>
        <w:rPr>
          <w:b/>
          <w:color w:val="0F2B5C"/>
        </w:rPr>
        <w:t xml:space="preserve">Split-Screen Diagnostic Workspace: </w:t>
      </w:r>
      <w:r>
        <w:rPr>
          <w:color w:val="334155"/>
        </w:rPr>
        <w:t xml:space="preserve">Left Column: Model controls, raw voltage inputs, live logarithmic/linear sliders, NASA presets, and real-time AI Chatbot. Right Column: Dedicated data visualizations strictly positioned on the right side.</w:t>
      </w:r>
    </w:p>
    <w:p>
      <w:pPr>
        <w:pStyle w:val="ListParagraph"/>
        <w:spacing w:before="40" w:after="80" w:line="276" w:lineRule="auto"/>
        <w:ind w:left="360" w:hanging="180"/>
      </w:pPr>
      <w:r>
        <w:rPr>
          <w:b/>
          <w:color w:val="1E40AF"/>
        </w:rPr>
        <w:t>• </w:t>
      </w:r>
      <w:r>
        <w:rPr>
          <w:b/>
          <w:color w:val="0F2B5C"/>
        </w:rPr>
        <w:t xml:space="preserve">Right-Aligned Compliance Footer: </w:t>
      </w:r>
      <w:r>
        <w:rPr>
          <w:color w:val="334155"/>
        </w:rPr>
        <w:t xml:space="preserve">Features a clean, subtle footer styled with font-size strictly &lt; 11px (10px): 'This website is vibecoded with assistance from - Google Antigravity'.</w:t>
      </w:r>
    </w:p>
    <w:p>
      <w:pPr>
        <w:pStyle w:val="Heading2"/>
        <w:spacing w:before="0" w:after="140" w:line="276" w:lineRule="auto"/>
      </w:pPr>
      <w:r>
        <w:rPr>
          <w:color w:val="1F2937"/>
          <w:sz w:val="22"/>
        </w:rPr>
        <w:t xml:space="preserve">3.2 Interactive Graph Movement &amp; Manipulation</w:t>
      </w:r>
    </w:p>
    <w:p>
      <w:pPr>
        <w:spacing w:before="0" w:after="140" w:line="276" w:lineRule="auto"/>
      </w:pPr>
      <w:r>
        <w:rPr>
          <w:color w:val="1F2937"/>
          <w:sz w:val="22"/>
        </w:rPr>
        <w:t xml:space="preserve">The graphs are fully interactive and adaptable to personal engineering needs:</w:t>
      </w:r>
    </w:p>
    <w:p>
      <w:pPr>
        <w:pStyle w:val="ListParagraph"/>
        <w:spacing w:before="40" w:after="80" w:line="276" w:lineRule="auto"/>
        <w:ind w:left="360" w:hanging="180"/>
      </w:pPr>
      <w:r>
        <w:rPr>
          <w:b/>
          <w:color w:val="1E40AF"/>
        </w:rPr>
        <w:t>• </w:t>
      </w:r>
      <w:r>
        <w:rPr>
          <w:b/>
          <w:color w:val="0F2B5C"/>
        </w:rPr>
        <w:t xml:space="preserve"> Direct Canvas Dragging: </w:t>
      </w:r>
      <w:r>
        <w:rPr>
          <w:color w:val="334155"/>
        </w:rPr>
        <w:t xml:space="preserve">Clicking or dragging anywhere across the Scatterplot or Line Chart immediately repositions the live test point to that exact (X, Y) coordinate, simultaneously updating the form inputs and triggering real-time re-screening.</w:t>
      </w:r>
    </w:p>
    <w:p>
      <w:pPr>
        <w:pStyle w:val="ListParagraph"/>
        <w:spacing w:before="40" w:after="80" w:line="276" w:lineRule="auto"/>
        <w:ind w:left="360" w:hanging="180"/>
      </w:pPr>
      <w:r>
        <w:rPr>
          <w:b/>
          <w:color w:val="1E40AF"/>
        </w:rPr>
        <w:t>• </w:t>
      </w:r>
      <w:r>
        <w:rPr>
          <w:b/>
          <w:color w:val="0F2B5C"/>
        </w:rPr>
        <w:t xml:space="preserve"> Pan View Mode: </w:t>
      </w:r>
      <w:r>
        <w:rPr>
          <w:color w:val="334155"/>
        </w:rPr>
        <w:t xml:space="preserve">Activating Pan Mode allows engineers to click and drag the canvas axes in 2D space to explore specific sub-breakdown knees, saturation regions, or high-voltage leakage tails.</w:t>
      </w:r>
    </w:p>
    <w:p>
      <w:pPr>
        <w:pStyle w:val="ListParagraph"/>
        <w:spacing w:before="40" w:after="80" w:line="276" w:lineRule="auto"/>
        <w:ind w:left="360" w:hanging="180"/>
      </w:pPr>
      <w:r>
        <w:rPr>
          <w:b/>
          <w:color w:val="1E40AF"/>
        </w:rPr>
        <w:t>• </w:t>
      </w:r>
      <w:r>
        <w:rPr>
          <w:b/>
          <w:color w:val="0F2B5C"/>
        </w:rPr>
        <w:t xml:space="preserve"> Zoom In / Out &amp; Mouse Wheel: </w:t>
      </w:r>
      <w:r>
        <w:rPr>
          <w:color w:val="334155"/>
        </w:rPr>
        <w:t xml:space="preserve">Engineers can zoom with toolbar buttons or use the mouse scroll wheel centered at the cursor. A 'Reset View' button instantly restores default axis boundaries.</w:t>
      </w:r>
    </w:p>
    <w:p>
      <w:pPr>
        <w:pStyle w:val="ListParagraph"/>
        <w:spacing w:before="40" w:after="80" w:line="276" w:lineRule="auto"/>
        <w:ind w:left="360" w:hanging="180"/>
      </w:pPr>
      <w:r>
        <w:rPr>
          <w:b/>
          <w:color w:val="1E40AF"/>
        </w:rPr>
        <w:t>• </w:t>
      </w:r>
      <w:r>
        <w:rPr>
          <w:b/>
          <w:color w:val="0F2B5C"/>
        </w:rPr>
        <w:t xml:space="preserve"> Real-Time Sliders: </w:t>
      </w:r>
      <w:r>
        <w:rPr>
          <w:color w:val="334155"/>
        </w:rPr>
        <w:t xml:space="preserve">Smooth input voltage and current sliders allow dynamic parameter sweeping with debounced ML model evaluation.</w:t>
      </w:r>
    </w:p>
    <w:p>
      <w:pPr>
        <w:pStyle w:val="Heading1"/>
        <w:spacing w:before="0" w:after="140" w:line="276" w:lineRule="auto"/>
      </w:pPr>
      <w:r>
        <w:rPr>
          <w:color w:val="1F2937"/>
          <w:sz w:val="22"/>
        </w:rPr>
        <w:t xml:space="preserve">4. Backend Engineering &amp; Auto-Scaling Pipeline</w:t>
      </w:r>
    </w:p>
    <w:p>
      <w:pPr>
        <w:spacing w:before="0" w:after="140" w:line="276" w:lineRule="auto"/>
      </w:pPr>
      <w:r>
        <w:rPr>
          <w:color w:val="1F2937"/>
          <w:sz w:val="22"/>
        </w:rPr>
        <w:t xml:space="preserve">A critical engineering requirement is dealing with raw, unscaled user input (e.g. 550.0 V, 1.25e-5 A) and mapping it into the scaled feature space required by machine learning models.</w:t>
      </w:r>
    </w:p>
    <w:p>
      <w:pPr>
        <w:pStyle w:val="Heading2"/>
        <w:spacing w:before="0" w:after="140" w:line="276" w:lineRule="auto"/>
      </w:pPr>
      <w:r>
        <w:rPr>
          <w:color w:val="1F2937"/>
          <w:sz w:val="22"/>
        </w:rPr>
        <w:t xml:space="preserve">4.1 Mathematical Formulation</w:t>
      </w:r>
    </w:p>
    <w:p>
      <w:pPr>
        <w:spacing w:before="0" w:after="140" w:line="276" w:lineRule="auto"/>
      </w:pPr>
      <w:r>
        <w:rPr>
          <w:color w:val="1F2937"/>
          <w:sz w:val="22"/>
        </w:rPr>
        <w:t xml:space="preserve">1. Feature Standardization: X_scaled = (X_raw - μ_x) / σ_x
2. Scaled Forward Inference: Y_scaled = w · X_scaled + b
3. Target Inverse Transformation: Y_phys = Y_scaled · σ_y + μ_y
4. Quantitative Deviation: Δ% = ((Y_user - Y_model) / Y_model) · 100
5. Magnitude Ratio: Ratio = Y_user / Y_model</w:t>
      </w:r>
    </w:p>
    <w:p>
      <w:pPr>
        <w:pStyle w:val="Heading2"/>
        <w:spacing w:before="0" w:after="140" w:line="276" w:lineRule="auto"/>
      </w:pPr>
      <w:r>
        <w:rPr>
          <w:color w:val="1F2937"/>
          <w:sz w:val="22"/>
        </w:rPr>
        <w:t xml:space="preserve">4.2 NASA Dataset Calibration Statistics</w:t>
      </w:r>
    </w:p>
    <w:tbl>
      <w:tblPr>
        <w:tblW w:w="9000" w:type="dxa"/>
        <w:tblBorders>
          <w:top w:val="single" w:sz="6" w:space="0" w:color="CBD5E1"/>
          <w:left w:val="none"/>
          <w:bottom w:val="single" w:sz="6" w:space="0" w:color="CBD5E1"/>
          <w:right w:val="none"/>
          <w:insideH w:val="single" w:sz="4" w:space="0" w:color="E2E8F0"/>
          <w:insideV w:val="none"/>
        </w:tblBorders>
      </w:tblPr>
      <w:tr>
        <w:trPr>
          <w:tblHeader/>
        </w:trPr>
        <w:tc>
          <w:tcPr>
            <w:tcW w:w="1200" w:type="dxa"/>
            <w:shd w:val="clear" w:color="auto" w:fill="EFF6FF"/>
          </w:tcPr>
          <w:p>
            <w:pPr>
              <w:spacing w:before="80" w:after="80"/>
            </w:pPr>
            <w:r>
              <w:rPr>
                <w:b/>
                <w:color w:val="1E40AF"/>
                <w:sz w:val="20"/>
              </w:rPr>
              <w:t>Model Name</w:t>
            </w:r>
          </w:p>
        </w:tc>
        <w:tc>
          <w:tcPr>
            <w:tcW w:w="1500" w:type="dxa"/>
            <w:shd w:val="clear" w:color="auto" w:fill="EFF6FF"/>
          </w:tcPr>
          <w:p>
            <w:pPr>
              <w:spacing w:before="80" w:after="80"/>
            </w:pPr>
            <w:r>
              <w:rPr>
                <w:b/>
                <w:color w:val="1E40AF"/>
                <w:sz w:val="20"/>
              </w:rPr>
              <w:t>Input Feature</w:t>
            </w:r>
          </w:p>
        </w:tc>
        <w:tc>
          <w:tcPr>
            <w:tcW w:w="1100" w:type="dxa"/>
            <w:shd w:val="clear" w:color="auto" w:fill="EFF6FF"/>
          </w:tcPr>
          <w:p>
            <w:pPr>
              <w:spacing w:before="80" w:after="80"/>
            </w:pPr>
            <w:r>
              <w:rPr>
                <w:b/>
                <w:color w:val="1E40AF"/>
                <w:sz w:val="20"/>
              </w:rPr>
              <w:t>Min X</w:t>
            </w:r>
          </w:p>
        </w:tc>
        <w:tc>
          <w:tcPr>
            <w:tcW w:w="1100" w:type="dxa"/>
            <w:shd w:val="clear" w:color="auto" w:fill="EFF6FF"/>
          </w:tcPr>
          <w:p>
            <w:pPr>
              <w:spacing w:before="80" w:after="80"/>
            </w:pPr>
            <w:r>
              <w:rPr>
                <w:b/>
                <w:color w:val="1E40AF"/>
                <w:sz w:val="20"/>
              </w:rPr>
              <w:t>Max X</w:t>
            </w:r>
          </w:p>
        </w:tc>
        <w:tc>
          <w:tcPr>
            <w:tcW w:w="1400" w:type="dxa"/>
            <w:shd w:val="clear" w:color="auto" w:fill="EFF6FF"/>
          </w:tcPr>
          <w:p>
            <w:pPr>
              <w:spacing w:before="80" w:after="80"/>
            </w:pPr>
            <w:r>
              <w:rPr>
                <w:b/>
                <w:color w:val="1E40AF"/>
                <w:sz w:val="20"/>
              </w:rPr>
              <w:t>Target Feature</w:t>
            </w:r>
          </w:p>
        </w:tc>
        <w:tc>
          <w:tcPr>
            <w:tcW w:w="1300" w:type="dxa"/>
            <w:shd w:val="clear" w:color="auto" w:fill="EFF6FF"/>
          </w:tcPr>
          <w:p>
            <w:pPr>
              <w:spacing w:before="80" w:after="80"/>
            </w:pPr>
            <w:r>
              <w:rPr>
                <w:b/>
                <w:color w:val="1E40AF"/>
                <w:sz w:val="20"/>
              </w:rPr>
              <w:t>Min Y (microAmpere)</w:t>
            </w:r>
          </w:p>
        </w:tc>
        <w:tc>
          <w:tcPr>
            <w:tcW w:w="1400" w:type="dxa"/>
            <w:shd w:val="clear" w:color="auto" w:fill="EFF6FF"/>
          </w:tcPr>
          <w:p>
            <w:pPr>
              <w:spacing w:before="80" w:after="80"/>
            </w:pPr>
            <w:r>
              <w:rPr>
                <w:b/>
                <w:color w:val="1E40AF"/>
                <w:sz w:val="20"/>
              </w:rPr>
              <w:t>Max Y (microAmpere)</w:t>
            </w:r>
          </w:p>
        </w:tc>
      </w:tr>
      <w:tr>
        <w:tc>
          <w:tcPr>
            <w:tcW w:w="1200" w:type="dxa"/>
          </w:tcPr>
          <w:p>
            <w:pPr>
              <w:spacing w:before="60" w:after="60"/>
            </w:pPr>
            <w:r>
              <w:rPr>
                <w:sz w:val="20"/>
              </w:rPr>
              <w:t>Breakdown</w:t>
            </w:r>
          </w:p>
        </w:tc>
        <w:tc>
          <w:tcPr>
            <w:tcW w:w="1500" w:type="dxa"/>
          </w:tcPr>
          <w:p>
            <w:pPr>
              <w:spacing w:before="60" w:after="60"/>
            </w:pPr>
            <w:r>
              <w:rPr>
                <w:sz w:val="20"/>
              </w:rPr>
              <w:t>Collector-Emitter Voltage (V)</w:t>
            </w:r>
          </w:p>
        </w:tc>
        <w:tc>
          <w:tcPr>
            <w:tcW w:w="1100" w:type="dxa"/>
          </w:tcPr>
          <w:p>
            <w:pPr>
              <w:spacing w:before="60" w:after="60"/>
            </w:pPr>
            <w:r>
              <w:rPr>
                <w:sz w:val="20"/>
              </w:rPr>
              <w:t>0.0 V</w:t>
            </w:r>
          </w:p>
        </w:tc>
        <w:tc>
          <w:tcPr>
            <w:tcW w:w="1100" w:type="dxa"/>
          </w:tcPr>
          <w:p>
            <w:pPr>
              <w:spacing w:before="60" w:after="60"/>
            </w:pPr>
            <w:r>
              <w:rPr>
                <w:sz w:val="20"/>
              </w:rPr>
              <w:t>650.0 V</w:t>
            </w:r>
          </w:p>
        </w:tc>
        <w:tc>
          <w:tcPr>
            <w:tcW w:w="1400" w:type="dxa"/>
          </w:tcPr>
          <w:p>
            <w:pPr>
              <w:spacing w:before="60" w:after="60"/>
            </w:pPr>
            <w:r>
              <w:rPr>
                <w:sz w:val="20"/>
              </w:rPr>
              <w:t>Leakage Current</w:t>
            </w:r>
          </w:p>
        </w:tc>
        <w:tc>
          <w:tcPr>
            <w:tcW w:w="1300" w:type="dxa"/>
          </w:tcPr>
          <w:p>
            <w:pPr>
              <w:spacing w:before="60" w:after="60"/>
            </w:pPr>
            <w:r>
              <w:rPr>
                <w:sz w:val="20"/>
              </w:rPr>
              <w:t>0.0 microAmpere</w:t>
            </w:r>
          </w:p>
        </w:tc>
        <w:tc>
          <w:tcPr>
            <w:tcW w:w="1400" w:type="dxa"/>
          </w:tcPr>
          <w:p>
            <w:pPr>
              <w:spacing w:before="60" w:after="60"/>
            </w:pPr>
            <w:r>
              <w:rPr>
                <w:sz w:val="20"/>
              </w:rPr>
              <w:t>150.0 microAmpere</w:t>
            </w:r>
          </w:p>
        </w:tc>
      </w:tr>
      <w:tr>
        <w:tc>
          <w:tcPr>
            <w:tcW w:w="1200" w:type="dxa"/>
          </w:tcPr>
          <w:p>
            <w:pPr>
              <w:spacing w:before="60" w:after="60"/>
            </w:pPr>
            <w:r>
              <w:rPr>
                <w:sz w:val="20"/>
              </w:rPr>
              <w:t>Leakage IV</w:t>
            </w:r>
          </w:p>
        </w:tc>
        <w:tc>
          <w:tcPr>
            <w:tcW w:w="1500" w:type="dxa"/>
          </w:tcPr>
          <w:p>
            <w:pPr>
              <w:spacing w:before="60" w:after="60"/>
            </w:pPr>
            <w:r>
              <w:rPr>
                <w:sz w:val="20"/>
              </w:rPr>
              <w:t>Applied Voltage (V)</w:t>
            </w:r>
          </w:p>
        </w:tc>
        <w:tc>
          <w:tcPr>
            <w:tcW w:w="1100" w:type="dxa"/>
          </w:tcPr>
          <w:p>
            <w:pPr>
              <w:spacing w:before="60" w:after="60"/>
            </w:pPr>
            <w:r>
              <w:rPr>
                <w:sz w:val="20"/>
              </w:rPr>
              <w:t>0.0 V</w:t>
            </w:r>
          </w:p>
        </w:tc>
        <w:tc>
          <w:tcPr>
            <w:tcW w:w="1100" w:type="dxa"/>
          </w:tcPr>
          <w:p>
            <w:pPr>
              <w:spacing w:before="60" w:after="60"/>
            </w:pPr>
            <w:r>
              <w:rPr>
                <w:sz w:val="20"/>
              </w:rPr>
              <w:t>600.0 V</w:t>
            </w:r>
          </w:p>
        </w:tc>
        <w:tc>
          <w:tcPr>
            <w:tcW w:w="1400" w:type="dxa"/>
          </w:tcPr>
          <w:p>
            <w:pPr>
              <w:spacing w:before="60" w:after="60"/>
            </w:pPr>
            <w:r>
              <w:rPr>
                <w:sz w:val="20"/>
              </w:rPr>
              <w:t>Leakage Current</w:t>
            </w:r>
          </w:p>
        </w:tc>
        <w:tc>
          <w:tcPr>
            <w:tcW w:w="1300" w:type="dxa"/>
          </w:tcPr>
          <w:p>
            <w:pPr>
              <w:spacing w:before="60" w:after="60"/>
            </w:pPr>
            <w:r>
              <w:rPr>
                <w:sz w:val="20"/>
              </w:rPr>
              <w:t>0.0 microAmpere</w:t>
            </w:r>
          </w:p>
        </w:tc>
        <w:tc>
          <w:tcPr>
            <w:tcW w:w="1400" w:type="dxa"/>
          </w:tcPr>
          <w:p>
            <w:pPr>
              <w:spacing w:before="60" w:after="60"/>
            </w:pPr>
            <w:r>
              <w:rPr>
                <w:sz w:val="20"/>
              </w:rPr>
              <w:t>10.0 microAmpere</w:t>
            </w:r>
          </w:p>
        </w:tc>
      </w:tr>
      <w:tr>
        <w:tc>
          <w:tcPr>
            <w:tcW w:w="1200" w:type="dxa"/>
          </w:tcPr>
          <w:p>
            <w:pPr>
              <w:spacing w:before="60" w:after="60"/>
            </w:pPr>
            <w:r>
              <w:rPr>
                <w:sz w:val="20"/>
              </w:rPr>
              <w:t>Turn-On</w:t>
            </w:r>
          </w:p>
        </w:tc>
        <w:tc>
          <w:tcPr>
            <w:tcW w:w="1500" w:type="dxa"/>
          </w:tcPr>
          <w:p>
            <w:pPr>
              <w:spacing w:before="60" w:after="60"/>
            </w:pPr>
            <w:r>
              <w:rPr>
                <w:sz w:val="20"/>
              </w:rPr>
              <w:t>Gate Voltage (V)</w:t>
            </w:r>
          </w:p>
        </w:tc>
        <w:tc>
          <w:tcPr>
            <w:tcW w:w="1100" w:type="dxa"/>
          </w:tcPr>
          <w:p>
            <w:pPr>
              <w:spacing w:before="60" w:after="60"/>
            </w:pPr>
            <w:r>
              <w:rPr>
                <w:sz w:val="20"/>
              </w:rPr>
              <w:t>0.0 V</w:t>
            </w:r>
          </w:p>
        </w:tc>
        <w:tc>
          <w:tcPr>
            <w:tcW w:w="1100" w:type="dxa"/>
          </w:tcPr>
          <w:p>
            <w:pPr>
              <w:spacing w:before="60" w:after="60"/>
            </w:pPr>
            <w:r>
              <w:rPr>
                <w:sz w:val="20"/>
              </w:rPr>
              <w:t>15.0 V</w:t>
            </w:r>
          </w:p>
        </w:tc>
        <w:tc>
          <w:tcPr>
            <w:tcW w:w="1400" w:type="dxa"/>
          </w:tcPr>
          <w:p>
            <w:pPr>
              <w:spacing w:before="60" w:after="60"/>
            </w:pPr>
            <w:r>
              <w:rPr>
                <w:sz w:val="20"/>
              </w:rPr>
              <w:t>Collector Current</w:t>
            </w:r>
          </w:p>
        </w:tc>
        <w:tc>
          <w:tcPr>
            <w:tcW w:w="1300" w:type="dxa"/>
          </w:tcPr>
          <w:p>
            <w:pPr>
              <w:spacing w:before="60" w:after="60"/>
            </w:pPr>
            <w:r>
              <w:rPr>
                <w:sz w:val="20"/>
              </w:rPr>
              <w:t>0.0 microAmpere</w:t>
            </w:r>
          </w:p>
        </w:tc>
        <w:tc>
          <w:tcPr>
            <w:tcW w:w="1400" w:type="dxa"/>
          </w:tcPr>
          <w:p>
            <w:pPr>
              <w:spacing w:before="60" w:after="60"/>
            </w:pPr>
            <w:r>
              <w:rPr>
                <w:sz w:val="20"/>
              </w:rPr>
              <w:t>250.0 microAmpere</w:t>
            </w:r>
          </w:p>
        </w:tc>
      </w:tr>
    </w:tbl>
    <w:p>
      <w:pPr>
        <w:spacing w:after="140"/>
      </w:pPr>
    </w:p>
    <w:p>
      <w:pPr>
        <w:pStyle w:val="Heading2"/>
        <w:spacing w:before="0" w:after="140" w:line="276" w:lineRule="auto"/>
      </w:pPr>
      <w:r>
        <w:rPr>
          <w:color w:val="1F2937"/>
          <w:sz w:val="22"/>
        </w:rPr>
        <w:t xml:space="preserve">4.3 IGBT Time-Series Degradation &amp; Breakdown Prediction Pipeline</w:t>
      </w:r>
    </w:p>
    <w:p>
      <w:pPr>
        <w:spacing w:before="0" w:after="140" w:line="276" w:lineRule="auto"/>
      </w:pPr>
      <w:r>
        <w:rPr>
          <w:color w:val="1F2937"/>
          <w:sz w:val="22"/>
        </w:rPr>
        <w:t xml:space="preserve">For mission-critical space converters, the system implements an end-to-end time-series degradation pipeline operating on chronological sensor streams (Breakdown_timeseries_microampere.csv • 3,790 observations • 30-minute intervals):
1. Leakage-Safe Feature Engineering: Lags [1, 2, 3, 6, 12], Shifted Rolling Statistics [3, 6, 12, 24] with mean and std (shifted by 1 observation before window calculation to strictly prevent lookahead leakage).
2. Chronological Split: 80% past historical training / 20% future unseen testing (shuffle=False).
3. Gradient Boosting Regression: GradientBoostingRegressor(n_estimators=300, learning_rate=0.03, max_depth=3) evaluated via 5-Fold TimeSeriesSplit.
4. Predictive Maintenance Anomaly Signals: Tracks prediction residual e_t = Actual - Predicted in microAmperes with dynamic confidence bounds (+/-2σ, +/-4σ) to flag early degradation warnings before catastrophic avalanche breakdown.</w:t>
      </w:r>
    </w:p>
    <w:p>
      <w:pPr>
        <w:pStyle w:val="Heading1"/>
        <w:spacing w:before="0" w:after="140" w:line="276" w:lineRule="auto"/>
      </w:pPr>
      <w:r>
        <w:rPr>
          <w:color w:val="1F2937"/>
          <w:sz w:val="22"/>
        </w:rPr>
        <w:t xml:space="preserve">5. REST API Specifications &amp; Integration Protocols</w:t>
      </w:r>
    </w:p>
    <w:p>
      <w:pPr>
        <w:spacing w:before="0" w:after="140" w:line="276" w:lineRule="auto"/>
      </w:pPr>
      <w:r>
        <w:rPr>
          <w:color w:val="1F2937"/>
          <w:sz w:val="22"/>
        </w:rPr>
        <w:t xml:space="preserve">The backend exposes a clean REST API running on http://localhost:5000:</w:t>
      </w:r>
    </w:p>
    <w:tbl>
      <w:tblPr>
        <w:tblW w:w="9000" w:type="dxa"/>
        <w:tblBorders>
          <w:top w:val="single" w:sz="6" w:space="0" w:color="CBD5E1"/>
          <w:left w:val="none"/>
          <w:bottom w:val="single" w:sz="6" w:space="0" w:color="CBD5E1"/>
          <w:right w:val="none"/>
          <w:insideH w:val="single" w:sz="4" w:space="0" w:color="E2E8F0"/>
          <w:insideV w:val="none"/>
        </w:tblBorders>
      </w:tblPr>
      <w:tr>
        <w:trPr>
          <w:tblHeader/>
        </w:trPr>
        <w:tc>
          <w:tcPr>
            <w:tcW w:w="1800" w:type="dxa"/>
            <w:shd w:val="clear" w:color="auto" w:fill="EFF6FF"/>
          </w:tcPr>
          <w:p>
            <w:pPr>
              <w:spacing w:before="80" w:after="80"/>
            </w:pPr>
            <w:r>
              <w:rPr>
                <w:b/>
                <w:color w:val="1E40AF"/>
                <w:sz w:val="20"/>
              </w:rPr>
              <w:t>Endpoint</w:t>
            </w:r>
          </w:p>
        </w:tc>
        <w:tc>
          <w:tcPr>
            <w:tcW w:w="900" w:type="dxa"/>
            <w:shd w:val="clear" w:color="auto" w:fill="EFF6FF"/>
          </w:tcPr>
          <w:p>
            <w:pPr>
              <w:spacing w:before="80" w:after="80"/>
            </w:pPr>
            <w:r>
              <w:rPr>
                <w:b/>
                <w:color w:val="1E40AF"/>
                <w:sz w:val="20"/>
              </w:rPr>
              <w:t>Method</w:t>
            </w:r>
          </w:p>
        </w:tc>
        <w:tc>
          <w:tcPr>
            <w:tcW w:w="2700" w:type="dxa"/>
            <w:shd w:val="clear" w:color="auto" w:fill="EFF6FF"/>
          </w:tcPr>
          <w:p>
            <w:pPr>
              <w:spacing w:before="80" w:after="80"/>
            </w:pPr>
            <w:r>
              <w:rPr>
                <w:b/>
                <w:color w:val="1E40AF"/>
                <w:sz w:val="20"/>
              </w:rPr>
              <w:t>Request Payload</w:t>
            </w:r>
          </w:p>
        </w:tc>
        <w:tc>
          <w:tcPr>
            <w:tcW w:w="3600" w:type="dxa"/>
            <w:shd w:val="clear" w:color="auto" w:fill="EFF6FF"/>
          </w:tcPr>
          <w:p>
            <w:pPr>
              <w:spacing w:before="80" w:after="80"/>
            </w:pPr>
            <w:r>
              <w:rPr>
                <w:b/>
                <w:color w:val="1E40AF"/>
                <w:sz w:val="20"/>
              </w:rPr>
              <w:t>Response Summary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</w:rPr>
              <w:t>/api/health</w:t>
            </w:r>
          </w:p>
        </w:tc>
        <w:tc>
          <w:tcPr>
            <w:tcW w:w="900" w:type="dxa"/>
          </w:tcPr>
          <w:p>
            <w:pPr>
              <w:spacing w:before="60" w:after="60"/>
            </w:pPr>
            <w:r>
              <w:rPr>
                <w:sz w:val="20"/>
              </w:rPr>
              <w:t>GET</w:t>
            </w:r>
          </w:p>
        </w:tc>
        <w:tc>
          <w:tcPr>
            <w:tcW w:w="2700" w:type="dxa"/>
          </w:tcPr>
          <w:p>
            <w:pPr>
              <w:spacing w:before="60" w:after="60"/>
            </w:pPr>
            <w:r>
              <w:rPr>
                <w:sz w:val="20"/>
              </w:rPr>
              <w:t>None</w:t>
            </w:r>
          </w:p>
        </w:tc>
        <w:tc>
          <w:tcPr>
            <w:tcW w:w="3600" w:type="dxa"/>
          </w:tcPr>
          <w:p>
            <w:pPr>
              <w:spacing w:before="60" w:after="60"/>
            </w:pPr>
            <w:r>
              <w:rPr>
                <w:sz w:val="20"/>
              </w:rPr>
              <w:t>Health status, active AI engine, and database connection status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</w:rPr>
              <w:t>/api/models</w:t>
            </w:r>
          </w:p>
        </w:tc>
        <w:tc>
          <w:tcPr>
            <w:tcW w:w="900" w:type="dxa"/>
          </w:tcPr>
          <w:p>
            <w:pPr>
              <w:spacing w:before="60" w:after="60"/>
            </w:pPr>
            <w:r>
              <w:rPr>
                <w:sz w:val="20"/>
              </w:rPr>
              <w:t>GET</w:t>
            </w:r>
          </w:p>
        </w:tc>
        <w:tc>
          <w:tcPr>
            <w:tcW w:w="2700" w:type="dxa"/>
          </w:tcPr>
          <w:p>
            <w:pPr>
              <w:spacing w:before="60" w:after="60"/>
            </w:pPr>
            <w:r>
              <w:rPr>
                <w:sz w:val="20"/>
              </w:rPr>
              <w:t>None</w:t>
            </w:r>
          </w:p>
        </w:tc>
        <w:tc>
          <w:tcPr>
            <w:tcW w:w="3600" w:type="dxa"/>
          </w:tcPr>
          <w:p>
            <w:pPr>
              <w:spacing w:before="60" w:after="60"/>
            </w:pPr>
            <w:r>
              <w:rPr>
                <w:sz w:val="20"/>
              </w:rPr>
              <w:t>Metadata, parameters, units, and typical ranges for all 3 models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</w:rPr>
              <w:t>/api/dataset-sample</w:t>
            </w:r>
          </w:p>
        </w:tc>
        <w:tc>
          <w:tcPr>
            <w:tcW w:w="900" w:type="dxa"/>
          </w:tcPr>
          <w:p>
            <w:pPr>
              <w:spacing w:before="60" w:after="60"/>
            </w:pPr>
            <w:r>
              <w:rPr>
                <w:sz w:val="20"/>
              </w:rPr>
              <w:t>GET</w:t>
            </w:r>
          </w:p>
        </w:tc>
        <w:tc>
          <w:tcPr>
            <w:tcW w:w="2700" w:type="dxa"/>
          </w:tcPr>
          <w:p>
            <w:pPr>
              <w:spacing w:before="60" w:after="60"/>
            </w:pPr>
            <w:r>
              <w:rPr>
                <w:sz w:val="20"/>
              </w:rPr>
              <w:t>model (str), limit (int)</w:t>
            </w:r>
          </w:p>
        </w:tc>
        <w:tc>
          <w:tcPr>
            <w:tcW w:w="3600" w:type="dxa"/>
          </w:tcPr>
          <w:p>
            <w:pPr>
              <w:spacing w:before="60" w:after="60"/>
            </w:pPr>
            <w:r>
              <w:rPr>
                <w:sz w:val="20"/>
              </w:rPr>
              <w:t>Sampled (X, Y) dataset points from NASA CSV files for scatterplot rendering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</w:rPr>
              <w:t>/api/pipeline/run</w:t>
            </w:r>
          </w:p>
        </w:tc>
        <w:tc>
          <w:tcPr>
            <w:tcW w:w="900" w:type="dxa"/>
          </w:tcPr>
          <w:p>
            <w:pPr>
              <w:spacing w:before="60" w:after="60"/>
            </w:pPr>
            <w:r>
              <w:rPr>
                <w:sz w:val="20"/>
              </w:rPr>
              <w:t>POST</w:t>
            </w:r>
          </w:p>
        </w:tc>
        <w:tc>
          <w:tcPr>
            <w:tcW w:w="2700" w:type="dxa"/>
          </w:tcPr>
          <w:p>
            <w:pPr>
              <w:spacing w:before="60" w:after="60"/>
            </w:pPr>
            <w:r>
              <w:rPr>
                <w:sz w:val="20"/>
              </w:rPr>
              <w:t>{model_type, raw_input, user_said_output, component_id}</w:t>
            </w:r>
          </w:p>
        </w:tc>
        <w:tc>
          <w:tcPr>
            <w:tcW w:w="3600" w:type="dxa"/>
          </w:tcPr>
          <w:p>
            <w:pPr>
              <w:spacing w:before="60" w:after="60"/>
            </w:pPr>
            <w:r>
              <w:rPr>
                <w:sz w:val="20"/>
              </w:rPr>
              <w:t>Auto-scales input, runs inference, inverse-scales output, analyzes discrepancy, generates Groq explanation, logs to DB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</w:rPr>
              <w:t>/api/chat</w:t>
            </w:r>
          </w:p>
        </w:tc>
        <w:tc>
          <w:tcPr>
            <w:tcW w:w="900" w:type="dxa"/>
          </w:tcPr>
          <w:p>
            <w:pPr>
              <w:spacing w:before="60" w:after="60"/>
            </w:pPr>
            <w:r>
              <w:rPr>
                <w:sz w:val="20"/>
              </w:rPr>
              <w:t>POST</w:t>
            </w:r>
          </w:p>
        </w:tc>
        <w:tc>
          <w:tcPr>
            <w:tcW w:w="2700" w:type="dxa"/>
          </w:tcPr>
          <w:p>
            <w:pPr>
              <w:spacing w:before="60" w:after="60"/>
            </w:pPr>
            <w:r>
              <w:rPr>
                <w:sz w:val="20"/>
              </w:rPr>
              <w:t>{message: string}</w:t>
            </w:r>
          </w:p>
        </w:tc>
        <w:tc>
          <w:tcPr>
            <w:tcW w:w="3600" w:type="dxa"/>
          </w:tcPr>
          <w:p>
            <w:pPr>
              <w:spacing w:before="60" w:after="60"/>
            </w:pPr>
            <w:r>
              <w:rPr>
                <w:sz w:val="20"/>
              </w:rPr>
              <w:t>Answers questions regarding IGBT physics, failure modes, and screening criteria using Groq Llama 3.3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</w:rPr>
              <w:t>/api/screenings</w:t>
            </w:r>
          </w:p>
        </w:tc>
        <w:tc>
          <w:tcPr>
            <w:tcW w:w="900" w:type="dxa"/>
          </w:tcPr>
          <w:p>
            <w:pPr>
              <w:spacing w:before="60" w:after="60"/>
            </w:pPr>
            <w:r>
              <w:rPr>
                <w:sz w:val="20"/>
              </w:rPr>
              <w:t>GET</w:t>
            </w:r>
          </w:p>
        </w:tc>
        <w:tc>
          <w:tcPr>
            <w:tcW w:w="2700" w:type="dxa"/>
          </w:tcPr>
          <w:p>
            <w:pPr>
              <w:spacing w:before="60" w:after="60"/>
            </w:pPr>
            <w:r>
              <w:rPr>
                <w:sz w:val="20"/>
              </w:rPr>
              <w:t>limit (int), model (str)</w:t>
            </w:r>
          </w:p>
        </w:tc>
        <w:tc>
          <w:tcPr>
            <w:tcW w:w="3600" w:type="dxa"/>
          </w:tcPr>
          <w:p>
            <w:pPr>
              <w:spacing w:before="60" w:after="60"/>
            </w:pPr>
            <w:r>
              <w:rPr>
                <w:sz w:val="20"/>
              </w:rPr>
              <w:t>Retrieves historical screening audit logs from SQLite database</w:t>
            </w:r>
          </w:p>
        </w:tc>
      </w:tr>
    </w:tbl>
    <w:p>
      <w:pPr>
        <w:spacing w:after="140"/>
      </w:pPr>
    </w:p>
    <w:p>
      <w:pPr>
        <w:pStyle w:val="Heading1"/>
        <w:spacing w:before="0" w:after="140" w:line="276" w:lineRule="auto"/>
      </w:pPr>
      <w:r>
        <w:rPr>
          <w:color w:val="1F2937"/>
          <w:sz w:val="22"/>
        </w:rPr>
        <w:t xml:space="preserve">6. Semiconductor Failure Physics &amp; AI Explainability</w:t>
      </w:r>
    </w:p>
    <w:p>
      <w:pPr>
        <w:spacing w:before="0" w:after="140" w:line="276" w:lineRule="auto"/>
      </w:pPr>
      <w:r>
        <w:rPr>
          <w:color w:val="1F2937"/>
          <w:sz w:val="22"/>
        </w:rPr>
        <w:t xml:space="preserve">The explainability system bridges raw ML predictions with physical device dynamics. Groq Llama 3.3 produces concise 3-point structured reports strictly under 100 words:</w:t>
      </w:r>
    </w:p>
    <w:p>
      <w:pPr>
        <w:pStyle w:val="ListParagraph"/>
        <w:spacing w:before="40" w:after="80" w:line="276" w:lineRule="auto"/>
        <w:ind w:left="360" w:hanging="180"/>
      </w:pPr>
      <w:r>
        <w:rPr>
          <w:b/>
          <w:color w:val="1E40AF"/>
        </w:rPr>
        <w:t>• </w:t>
      </w:r>
      <w:r>
        <w:rPr>
          <w:b/>
          <w:color w:val="0F2B5C"/>
        </w:rPr>
        <w:t xml:space="preserve">1. Quantitative Deviation: </w:t>
      </w:r>
      <w:r>
        <w:rPr>
          <w:color w:val="334155"/>
        </w:rPr>
        <w:t xml:space="preserve">Reports the exact percentage drift (Δ%) and magnitude scaling ratio (e.g. +223.0% drift, 3.23x baseline).</w:t>
      </w:r>
    </w:p>
    <w:p>
      <w:pPr>
        <w:pStyle w:val="ListParagraph"/>
        <w:spacing w:before="40" w:after="80" w:line="276" w:lineRule="auto"/>
        <w:ind w:left="360" w:hanging="180"/>
      </w:pPr>
      <w:r>
        <w:rPr>
          <w:b/>
          <w:color w:val="1E40AF"/>
        </w:rPr>
        <w:t>• </w:t>
      </w:r>
      <w:r>
        <w:rPr>
          <w:b/>
          <w:color w:val="0F2B5C"/>
        </w:rPr>
        <w:t xml:space="preserve">2. Semiconductor Failure Physics: </w:t>
      </w:r>
      <w:r>
        <w:rPr>
          <w:color w:val="334155"/>
        </w:rPr>
        <w:t xml:space="preserve">Identifies root causes such as: Premature Avalanche Breakdown &amp; impact ionization in high electric fields; Shockley-Read-Hall (SRH) generation-recombination in the space-charge region; Gate oxide electron trapping causing positive threshold voltage shift (+ΔVth); Die-attach solder fatigue and thermal runaway.</w:t>
      </w:r>
    </w:p>
    <w:p>
      <w:pPr>
        <w:pStyle w:val="ListParagraph"/>
        <w:spacing w:before="40" w:after="80" w:line="276" w:lineRule="auto"/>
        <w:ind w:left="360" w:hanging="180"/>
      </w:pPr>
      <w:r>
        <w:rPr>
          <w:b/>
          <w:color w:val="1E40AF"/>
        </w:rPr>
        <w:t>• </w:t>
      </w:r>
      <w:r>
        <w:rPr>
          <w:b/>
          <w:color w:val="0F2B5C"/>
        </w:rPr>
        <w:t xml:space="preserve">3. SIH-26 Actionable Verdict: </w:t>
      </w:r>
      <w:r>
        <w:rPr>
          <w:color w:val="334155"/>
        </w:rPr>
        <w:t xml:space="preserve">Assigns  PASS (normal baseline, |Δ%| &lt;= 10%),  HOLD (moderate drift, requires 125°C curve tracing), or  REJECT (high latent defect risk, immediate flight payload quarantine).</w:t>
      </w:r>
    </w:p>
    <w:p>
      <w:pPr>
        <w:pStyle w:val="Heading1"/>
        <w:spacing w:before="0" w:after="140" w:line="276" w:lineRule="auto"/>
      </w:pPr>
      <w:r>
        <w:rPr>
          <w:color w:val="1F2937"/>
          <w:sz w:val="22"/>
        </w:rPr>
        <w:t xml:space="preserve">7. Quality Assurance &amp; Evaluation Metrics</w:t>
      </w:r>
    </w:p>
    <w:p>
      <w:pPr>
        <w:pStyle w:val="ListParagraph"/>
        <w:spacing w:before="40" w:after="80" w:line="276" w:lineRule="auto"/>
        <w:ind w:left="360" w:hanging="180"/>
      </w:pPr>
      <w:r>
        <w:rPr>
          <w:b/>
          <w:color w:val="1E40AF"/>
        </w:rPr>
        <w:t>• </w:t>
      </w:r>
      <w:r>
        <w:rPr>
          <w:b/>
          <w:color w:val="0F2B5C"/>
        </w:rPr>
        <w:t xml:space="preserve">Anomaly Detection Score: </w:t>
      </w:r>
      <w:r>
        <w:rPr>
          <w:color w:val="334155"/>
        </w:rPr>
        <w:t xml:space="preserve">Zero-tolerance policy for False Negatives. In aerospace screening, letting a defective component escape into space payloads is catastrophic.</w:t>
      </w:r>
    </w:p>
    <w:p>
      <w:pPr>
        <w:pStyle w:val="ListParagraph"/>
        <w:spacing w:before="40" w:after="80" w:line="276" w:lineRule="auto"/>
        <w:ind w:left="360" w:hanging="180"/>
      </w:pPr>
      <w:r>
        <w:rPr>
          <w:b/>
          <w:color w:val="1E40AF"/>
        </w:rPr>
        <w:t>• </w:t>
      </w:r>
      <w:r>
        <w:rPr>
          <w:b/>
          <w:color w:val="0F2B5C"/>
        </w:rPr>
        <w:t xml:space="preserve">Drift Prediction Accuracy: </w:t>
      </w:r>
      <w:r>
        <w:rPr>
          <w:color w:val="334155"/>
        </w:rPr>
        <w:t xml:space="preserve">Minimizes Mean Absolute Error (MAE) between predicted Value_168h and hidden ground-truth laboratory values.</w:t>
      </w:r>
    </w:p>
    <w:p>
      <w:pPr>
        <w:pStyle w:val="ListParagraph"/>
        <w:spacing w:before="40" w:after="80" w:line="276" w:lineRule="auto"/>
        <w:ind w:left="360" w:hanging="180"/>
      </w:pPr>
      <w:r>
        <w:rPr>
          <w:b/>
          <w:color w:val="1E40AF"/>
        </w:rPr>
        <w:t>• </w:t>
      </w:r>
      <w:r>
        <w:rPr>
          <w:b/>
          <w:color w:val="0F2B5C"/>
        </w:rPr>
        <w:t xml:space="preserve">High-Availability Fallback Guarantee: </w:t>
      </w:r>
      <w:r>
        <w:rPr>
          <w:color w:val="334155"/>
        </w:rPr>
        <w:t xml:space="preserve">If Groq API experiences rate limits or network disconnects, the system instantly switches to its built-in rule-based physics engine, ensuring 100% uptime without user-facing errors.</w:t>
      </w:r>
    </w:p>
    <w:p>
      <w:pPr>
        <w:pStyle w:val="Heading1"/>
        <w:spacing w:before="0" w:after="140" w:line="276" w:lineRule="auto"/>
      </w:pPr>
      <w:r>
        <w:rPr>
          <w:color w:val="1F2937"/>
          <w:sz w:val="22"/>
        </w:rPr>
        <w:t xml:space="preserve">8. Team Drishti Roster &amp; Institutional Stamp</w:t>
      </w:r>
    </w:p>
    <w:p>
      <w:pPr>
        <w:spacing w:before="0" w:after="140" w:line="276" w:lineRule="auto"/>
      </w:pPr>
      <w:r>
        <w:rPr>
          <w:color w:val="1F2937"/>
          <w:sz w:val="22"/>
        </w:rPr>
        <w:t xml:space="preserve">Project developed for Smart India Hackathon (SIH 2026) by Team Drishti at Symbiosis Institute of Technology (SIT), Pune:</w:t>
      </w:r>
    </w:p>
    <w:tbl>
      <w:tblPr>
        <w:tblW w:w="9000" w:type="dxa"/>
        <w:tblBorders>
          <w:top w:val="single" w:sz="6" w:space="0" w:color="CBD5E1"/>
          <w:left w:val="none"/>
          <w:bottom w:val="single" w:sz="6" w:space="0" w:color="CBD5E1"/>
          <w:right w:val="none"/>
          <w:insideH w:val="single" w:sz="4" w:space="0" w:color="E2E8F0"/>
          <w:insideV w:val="none"/>
        </w:tblBorders>
      </w:tblPr>
      <w:tr>
        <w:trPr>
          <w:tblHeader/>
        </w:trPr>
        <w:tc>
          <w:tcPr>
            <w:tcW w:w="500" w:type="dxa"/>
            <w:shd w:val="clear" w:color="auto" w:fill="EFF6FF"/>
          </w:tcPr>
          <w:p>
            <w:pPr>
              <w:spacing w:before="80" w:after="80"/>
            </w:pPr>
            <w:r>
              <w:rPr>
                <w:b/>
                <w:color w:val="1E40AF"/>
                <w:sz w:val="20"/>
              </w:rPr>
              <w:t>#</w:t>
            </w:r>
          </w:p>
        </w:tc>
        <w:tc>
          <w:tcPr>
            <w:tcW w:w="2500" w:type="dxa"/>
            <w:shd w:val="clear" w:color="auto" w:fill="EFF6FF"/>
          </w:tcPr>
          <w:p>
            <w:pPr>
              <w:spacing w:before="80" w:after="80"/>
            </w:pPr>
            <w:r>
              <w:rPr>
                <w:b/>
                <w:color w:val="1E40AF"/>
                <w:sz w:val="20"/>
              </w:rPr>
              <w:t>Member Name</w:t>
            </w:r>
          </w:p>
        </w:tc>
        <w:tc>
          <w:tcPr>
            <w:tcW w:w="1800" w:type="dxa"/>
            <w:shd w:val="clear" w:color="auto" w:fill="EFF6FF"/>
          </w:tcPr>
          <w:p>
            <w:pPr>
              <w:spacing w:before="80" w:after="80"/>
            </w:pPr>
            <w:r>
              <w:rPr>
                <w:b/>
                <w:color w:val="1E40AF"/>
                <w:sz w:val="20"/>
              </w:rPr>
              <w:t>PRN / Student ID</w:t>
            </w:r>
          </w:p>
        </w:tc>
        <w:tc>
          <w:tcPr>
            <w:tcW w:w="4200" w:type="dxa"/>
            <w:shd w:val="clear" w:color="auto" w:fill="EFF6FF"/>
          </w:tcPr>
          <w:p>
            <w:pPr>
              <w:spacing w:before="80" w:after="80"/>
            </w:pPr>
            <w:r>
              <w:rPr>
                <w:b/>
                <w:color w:val="1E40AF"/>
                <w:sz w:val="20"/>
              </w:rPr>
              <w:t>Engineering Role / Specialization</w:t>
            </w:r>
          </w:p>
        </w:tc>
      </w:tr>
      <w:tr>
        <w:tc>
          <w:tcPr>
            <w:tcW w:w="500" w:type="dxa"/>
          </w:tcPr>
          <w:p>
            <w:pPr>
              <w:spacing w:before="60" w:after="60"/>
            </w:pPr>
            <w:r>
              <w:rPr>
                <w:sz w:val="20"/>
              </w:rPr>
              <w:t>1</w:t>
            </w:r>
          </w:p>
        </w:tc>
        <w:tc>
          <w:tcPr>
            <w:tcW w:w="2500" w:type="dxa"/>
          </w:tcPr>
          <w:p>
            <w:pPr>
              <w:spacing w:before="60" w:after="60"/>
            </w:pPr>
            <w:r>
              <w:rPr>
                <w:sz w:val="20"/>
              </w:rPr>
              <w:t>Samarth Buchake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</w:rPr>
              <w:t>25070126151</w:t>
            </w:r>
          </w:p>
        </w:tc>
        <w:tc>
          <w:tcPr>
            <w:tcW w:w="4200" w:type="dxa"/>
          </w:tcPr>
          <w:p>
            <w:pPr>
              <w:spacing w:before="60" w:after="60"/>
            </w:pPr>
            <w:r>
              <w:rPr>
                <w:sz w:val="20"/>
              </w:rPr>
              <w:t>Machine Learning &amp; Fullstack Architecture Lead</w:t>
            </w:r>
          </w:p>
        </w:tc>
      </w:tr>
      <w:tr>
        <w:tc>
          <w:tcPr>
            <w:tcW w:w="500" w:type="dxa"/>
          </w:tcPr>
          <w:p>
            <w:pPr>
              <w:spacing w:before="60" w:after="60"/>
            </w:pPr>
            <w:r>
              <w:rPr>
                <w:sz w:val="20"/>
              </w:rPr>
              <w:t>2</w:t>
            </w:r>
          </w:p>
        </w:tc>
        <w:tc>
          <w:tcPr>
            <w:tcW w:w="2500" w:type="dxa"/>
          </w:tcPr>
          <w:p>
            <w:pPr>
              <w:spacing w:before="60" w:after="60"/>
            </w:pPr>
            <w:r>
              <w:rPr>
                <w:sz w:val="20"/>
              </w:rPr>
              <w:t>Vibhuti Patil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</w:rPr>
              <w:t>25070126193</w:t>
            </w:r>
          </w:p>
        </w:tc>
        <w:tc>
          <w:tcPr>
            <w:tcW w:w="4200" w:type="dxa"/>
          </w:tcPr>
          <w:p>
            <w:pPr>
              <w:spacing w:before="60" w:after="60"/>
            </w:pPr>
            <w:r>
              <w:rPr>
                <w:sz w:val="20"/>
              </w:rPr>
              <w:t>Physics of Failure &amp; Semiconductor Model Specialist</w:t>
            </w:r>
          </w:p>
        </w:tc>
      </w:tr>
      <w:tr>
        <w:tc>
          <w:tcPr>
            <w:tcW w:w="500" w:type="dxa"/>
          </w:tcPr>
          <w:p>
            <w:pPr>
              <w:spacing w:before="60" w:after="60"/>
            </w:pPr>
            <w:r>
              <w:rPr>
                <w:sz w:val="20"/>
              </w:rPr>
              <w:t>3</w:t>
            </w:r>
          </w:p>
        </w:tc>
        <w:tc>
          <w:tcPr>
            <w:tcW w:w="2500" w:type="dxa"/>
          </w:tcPr>
          <w:p>
            <w:pPr>
              <w:spacing w:before="60" w:after="60"/>
            </w:pPr>
            <w:r>
              <w:rPr>
                <w:sz w:val="20"/>
              </w:rPr>
              <w:t>Maitreyee Kulkarni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</w:rPr>
              <w:t>24070123058</w:t>
            </w:r>
          </w:p>
        </w:tc>
        <w:tc>
          <w:tcPr>
            <w:tcW w:w="4200" w:type="dxa"/>
          </w:tcPr>
          <w:p>
            <w:pPr>
              <w:spacing w:before="60" w:after="60"/>
            </w:pPr>
            <w:r>
              <w:rPr>
                <w:sz w:val="20"/>
              </w:rPr>
              <w:t>Data Preprocessing &amp; Statistical Calibration Engineer</w:t>
            </w:r>
          </w:p>
        </w:tc>
      </w:tr>
      <w:tr>
        <w:tc>
          <w:tcPr>
            <w:tcW w:w="500" w:type="dxa"/>
          </w:tcPr>
          <w:p>
            <w:pPr>
              <w:spacing w:before="60" w:after="60"/>
            </w:pPr>
            <w:r>
              <w:rPr>
                <w:sz w:val="20"/>
              </w:rPr>
              <w:t>4</w:t>
            </w:r>
          </w:p>
        </w:tc>
        <w:tc>
          <w:tcPr>
            <w:tcW w:w="2500" w:type="dxa"/>
          </w:tcPr>
          <w:p>
            <w:pPr>
              <w:spacing w:before="60" w:after="60"/>
            </w:pPr>
            <w:r>
              <w:rPr>
                <w:sz w:val="20"/>
              </w:rPr>
              <w:t>Varija Korti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</w:rPr>
              <w:t>24070123165</w:t>
            </w:r>
          </w:p>
        </w:tc>
        <w:tc>
          <w:tcPr>
            <w:tcW w:w="4200" w:type="dxa"/>
          </w:tcPr>
          <w:p>
            <w:pPr>
              <w:spacing w:before="60" w:after="60"/>
            </w:pPr>
            <w:r>
              <w:rPr>
                <w:sz w:val="20"/>
              </w:rPr>
              <w:t>Time-Series Regression &amp; Drift Prediction Specialist</w:t>
            </w:r>
          </w:p>
        </w:tc>
      </w:tr>
      <w:tr>
        <w:tc>
          <w:tcPr>
            <w:tcW w:w="500" w:type="dxa"/>
          </w:tcPr>
          <w:p>
            <w:pPr>
              <w:spacing w:before="60" w:after="60"/>
            </w:pPr>
            <w:r>
              <w:rPr>
                <w:sz w:val="20"/>
              </w:rPr>
              <w:t>5</w:t>
            </w:r>
          </w:p>
        </w:tc>
        <w:tc>
          <w:tcPr>
            <w:tcW w:w="2500" w:type="dxa"/>
          </w:tcPr>
          <w:p>
            <w:pPr>
              <w:spacing w:before="60" w:after="60"/>
            </w:pPr>
            <w:r>
              <w:rPr>
                <w:sz w:val="20"/>
              </w:rPr>
              <w:t>Kaushal Sidhpura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</w:rPr>
              <w:t>25070127093</w:t>
            </w:r>
          </w:p>
        </w:tc>
        <w:tc>
          <w:tcPr>
            <w:tcW w:w="4200" w:type="dxa"/>
          </w:tcPr>
          <w:p>
            <w:pPr>
              <w:spacing w:before="60" w:after="60"/>
            </w:pPr>
            <w:r>
              <w:rPr>
                <w:sz w:val="20"/>
              </w:rPr>
              <w:t>Dynamic Outlier Detection &amp; Anomaly Scoring Lead</w:t>
            </w:r>
          </w:p>
        </w:tc>
      </w:tr>
      <w:tr>
        <w:tc>
          <w:tcPr>
            <w:tcW w:w="500" w:type="dxa"/>
          </w:tcPr>
          <w:p>
            <w:pPr>
              <w:spacing w:before="60" w:after="60"/>
            </w:pPr>
            <w:r>
              <w:rPr>
                <w:sz w:val="20"/>
              </w:rPr>
              <w:t>6</w:t>
            </w:r>
          </w:p>
        </w:tc>
        <w:tc>
          <w:tcPr>
            <w:tcW w:w="2500" w:type="dxa"/>
          </w:tcPr>
          <w:p>
            <w:pPr>
              <w:spacing w:before="60" w:after="60"/>
            </w:pPr>
            <w:r>
              <w:rPr>
                <w:sz w:val="20"/>
              </w:rPr>
              <w:t>Prachi Hirve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</w:rPr>
              <w:t>26070126090</w:t>
            </w:r>
          </w:p>
        </w:tc>
        <w:tc>
          <w:tcPr>
            <w:tcW w:w="4200" w:type="dxa"/>
          </w:tcPr>
          <w:p>
            <w:pPr>
              <w:spacing w:before="60" w:after="60"/>
            </w:pPr>
            <w:r>
              <w:rPr>
                <w:sz w:val="20"/>
              </w:rPr>
              <w:t>Explainability Engine &amp; QA Diagnostics Engineer</w:t>
            </w:r>
          </w:p>
        </w:tc>
      </w:tr>
    </w:tbl>
    <w:p>
      <w:pPr>
        <w:spacing w:after="140"/>
      </w:pPr>
    </w:p>
    <w:p>
      <w:pPr>
        <w:jc w:val="center"/>
        <w:spacing w:before="180" w:after="60" w:line="276" w:lineRule="auto"/>
      </w:pPr>
      <w:r>
        <w:rPr>
          <w:i/>
          <w:color w:val="64748B"/>
          <w:sz w:val="18"/>
        </w:rPr>
        <w:t xml:space="preserve">Document compiled and verified for SIH26170. All rights reserved by Team Drishti (SIT Pune).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color w:val="1F2937"/>
      </w:rPr>
    </w:rPrDefault>
    <w:pPrDefault>
      <w:pPr>
        <w:spacing w:after="140" w:line="276" w:lineRule="auto"/>
      </w:pPr>
    </w:pPrDefault>
  </w:docDefaults>
  <w:style w:type="paragraph" w:styleId="Heading1">
    <w:name w:val="heading 1"/>
    <w:rPr>
      <w:rFonts w:ascii="Calibri Light" w:hAnsi="Calibri Light"/>
      <w:b/>
      <w:sz w:val="34"/>
      <w:color w:val="1E40AF"/>
    </w:rPr>
    <w:pPr>
      <w:spacing w:before="300" w:after="120"/>
    </w:pPr>
  </w:style>
  <w:style w:type="paragraph" w:styleId="Heading2">
    <w:name w:val="heading 2"/>
    <w:rPr>
      <w:rFonts w:ascii="Calibri" w:hAnsi="Calibri"/>
      <w:b/>
      <w:sz w:val="28"/>
      <w:color w:val="EA580C"/>
    </w:rPr>
    <w:pPr>
      <w:spacing w:before="240" w:after="100"/>
    </w:pPr>
  </w:style>
  <w:style w:type="paragraph" w:styleId="Heading3">
    <w:name w:val="heading 3"/>
    <w:rPr>
      <w:rFonts w:ascii="Calibri" w:hAnsi="Calibri"/>
      <w:b/>
      <w:sz w:val="24"/>
      <w:color w:val="0F2B5C"/>
    </w:rPr>
    <w:pPr>
      <w:spacing w:before="180" w:after="8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